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eastAsia="宋体" w:hAnsi="微软雅黑" w:cs="宋体"/>
          <w:b/>
          <w:bCs/>
          <w:color w:val="004EA2"/>
          <w:kern w:val="0"/>
          <w:sz w:val="28"/>
          <w:szCs w:val="28"/>
        </w:rPr>
      </w:pPr>
      <w:r>
        <w:rPr>
          <w:rFonts w:ascii="微软雅黑" w:eastAsia="宋体" w:hAnsi="微软雅黑" w:cs="宋体" w:hint="eastAsia"/>
          <w:b/>
          <w:bCs/>
          <w:color w:val="004EA2"/>
          <w:kern w:val="0"/>
          <w:sz w:val="28"/>
          <w:szCs w:val="28"/>
        </w:rPr>
        <w:t>杭银理财幸福99丰裕固收23089期（混合估值）740天理财D款</w:t>
      </w:r>
    </w:p>
    <w:p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eastAsia="宋体" w:hAnsi="微软雅黑" w:cs="宋体"/>
          <w:b/>
          <w:bCs/>
          <w:color w:val="004EA2"/>
          <w:kern w:val="0"/>
          <w:sz w:val="28"/>
          <w:szCs w:val="28"/>
        </w:rPr>
      </w:pPr>
      <w:r>
        <w:rPr>
          <w:rFonts w:ascii="微软雅黑" w:eastAsia="宋体" w:hAnsi="微软雅黑" w:cs="宋体" w:hint="eastAsia"/>
          <w:b/>
          <w:bCs/>
          <w:color w:val="004EA2"/>
          <w:kern w:val="0"/>
          <w:sz w:val="28"/>
          <w:szCs w:val="28"/>
        </w:rPr>
        <w:t>产品到期兑付公告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尊敬的投资者：</w:t>
      </w:r>
    </w:p>
    <w:p>
      <w:pPr>
        <w:ind w:firstLine="48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杭银理财幸福99丰裕固收23089期（混合估值）740天理财D款</w:t>
      </w:r>
      <w:r>
        <w:rPr>
          <w:sz w:val="28"/>
        </w:rPr>
        <w:t>产品已于</w:t>
      </w:r>
      <w:r>
        <w:rPr>
          <w:sz w:val="28"/>
        </w:rPr>
        <w:t>2025年5月27日</w:t>
      </w:r>
      <w:r>
        <w:rPr>
          <w:sz w:val="28"/>
        </w:rPr>
        <w:t>到期终止，现将相关信息公告如下：</w:t>
      </w:r>
    </w:p>
    <w:tbl>
      <w:tblPr>
        <w:tblStyle w:val="TableGrid"/>
        <w:tblW w:w="8516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4"/>
        <w:gridCol w:w="4582"/>
      </w:tblGrid>
      <w:tr>
        <w:tblPrEx>
          <w:tblW w:w="8516" w:type="dxa"/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34" w:type="dxa"/>
            <w:vAlign w:val="center"/>
          </w:tcPr>
          <w:p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产品名称</w:t>
            </w:r>
          </w:p>
        </w:tc>
        <w:tc>
          <w:tcPr>
            <w:tcW w:w="4582" w:type="dxa"/>
            <w:vAlign w:val="center"/>
          </w:tcPr>
          <w:p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杭银理财幸福99丰裕固收23089期（混合估值）740天理财D款</w:t>
            </w:r>
          </w:p>
        </w:tc>
      </w:tr>
      <w:tr>
        <w:tblPrEx>
          <w:tblW w:w="8516" w:type="dxa"/>
          <w:jc w:val="center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34" w:type="dxa"/>
            <w:vAlign w:val="center"/>
          </w:tcPr>
          <w:p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理财产品代码</w:t>
            </w:r>
          </w:p>
        </w:tc>
        <w:tc>
          <w:tcPr>
            <w:tcW w:w="4582" w:type="dxa"/>
            <w:vAlign w:val="center"/>
          </w:tcPr>
          <w:p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FYG23089D</w:t>
            </w:r>
          </w:p>
        </w:tc>
      </w:tr>
      <w:tr>
        <w:tblPrEx>
          <w:tblW w:w="8516" w:type="dxa"/>
          <w:jc w:val="center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34" w:type="dxa"/>
            <w:vAlign w:val="center"/>
          </w:tcPr>
          <w:p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产品登记编码</w:t>
            </w:r>
          </w:p>
        </w:tc>
        <w:tc>
          <w:tcPr>
            <w:tcW w:w="4582" w:type="dxa"/>
            <w:vAlign w:val="center"/>
          </w:tcPr>
          <w:p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Z7002223000102</w:t>
            </w:r>
            <w:r>
              <w:rPr>
                <w:sz w:val="24"/>
              </w:rPr>
              <w:t xml:space="preserve">（可在中国理财网 www.chinawealth.com.cn 查询产品信息） </w:t>
            </w:r>
          </w:p>
        </w:tc>
      </w:tr>
      <w:tr>
        <w:tblPrEx>
          <w:tblW w:w="8516" w:type="dxa"/>
          <w:jc w:val="center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34" w:type="dxa"/>
            <w:vAlign w:val="center"/>
          </w:tcPr>
          <w:p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产品起始日期</w:t>
            </w:r>
          </w:p>
        </w:tc>
        <w:tc>
          <w:tcPr>
            <w:tcW w:w="4582" w:type="dxa"/>
            <w:vAlign w:val="center"/>
          </w:tcPr>
          <w:p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2023-05-18</w:t>
            </w:r>
          </w:p>
        </w:tc>
      </w:tr>
      <w:tr>
        <w:tblPrEx>
          <w:tblW w:w="8516" w:type="dxa"/>
          <w:jc w:val="center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34" w:type="dxa"/>
            <w:vAlign w:val="center"/>
          </w:tcPr>
          <w:p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产品终止日期</w:t>
            </w:r>
          </w:p>
        </w:tc>
        <w:tc>
          <w:tcPr>
            <w:tcW w:w="4582" w:type="dxa"/>
            <w:vAlign w:val="center"/>
          </w:tcPr>
          <w:p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2025-05-27</w:t>
            </w:r>
          </w:p>
        </w:tc>
      </w:tr>
      <w:tr>
        <w:tblPrEx>
          <w:tblW w:w="8516" w:type="dxa"/>
          <w:jc w:val="center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34" w:type="dxa"/>
            <w:vAlign w:val="center"/>
          </w:tcPr>
          <w:p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产品存续天数</w:t>
            </w:r>
          </w:p>
        </w:tc>
        <w:tc>
          <w:tcPr>
            <w:tcW w:w="4582" w:type="dxa"/>
            <w:vAlign w:val="center"/>
          </w:tcPr>
          <w:p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740</w:t>
            </w:r>
          </w:p>
        </w:tc>
      </w:tr>
      <w:tr>
        <w:tblPrEx>
          <w:tblW w:w="8516" w:type="dxa"/>
          <w:jc w:val="center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34" w:type="dxa"/>
            <w:vAlign w:val="center"/>
          </w:tcPr>
          <w:p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  <w:szCs w:val="22"/>
              </w:rPr>
              <w:t>产品累计净值</w:t>
            </w:r>
          </w:p>
        </w:tc>
        <w:tc>
          <w:tcPr>
            <w:tcW w:w="4582" w:type="dxa"/>
            <w:vAlign w:val="center"/>
          </w:tcPr>
          <w:p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1.0953</w:t>
            </w:r>
          </w:p>
        </w:tc>
      </w:tr>
      <w:tr>
        <w:tblPrEx>
          <w:tblW w:w="8516" w:type="dxa"/>
          <w:jc w:val="center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34" w:type="dxa"/>
            <w:vAlign w:val="center"/>
          </w:tcPr>
          <w:p>
            <w:pPr>
              <w:rPr>
                <w:rFonts w:eastAsia="宋体" w:asciiTheme="minorEastAsia" w:hAnsiTheme="minorEastAsia" w:cstheme="minorEastAsia"/>
                <w:sz w:val="24"/>
                <w:szCs w:val="22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  <w:szCs w:val="22"/>
              </w:rPr>
              <w:t>产品到期兑付净值</w:t>
            </w:r>
          </w:p>
        </w:tc>
        <w:tc>
          <w:tcPr>
            <w:tcW w:w="4582" w:type="dxa"/>
            <w:vAlign w:val="center"/>
          </w:tcPr>
          <w:p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1.0953</w:t>
            </w:r>
          </w:p>
        </w:tc>
      </w:tr>
      <w:tr>
        <w:tblPrEx>
          <w:tblW w:w="8516" w:type="dxa"/>
          <w:jc w:val="center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34" w:type="dxa"/>
            <w:vAlign w:val="center"/>
          </w:tcPr>
          <w:p>
            <w:pPr>
              <w:rPr>
                <w:rFonts w:eastAsia="宋体" w:asciiTheme="minorEastAsia" w:hAnsiTheme="minorEastAsia" w:cstheme="minorEastAsia"/>
                <w:sz w:val="24"/>
                <w:szCs w:val="22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  <w:szCs w:val="22"/>
              </w:rPr>
              <w:t>业绩比较基准</w:t>
            </w:r>
          </w:p>
        </w:tc>
        <w:tc>
          <w:tcPr>
            <w:tcW w:w="4582" w:type="dxa"/>
            <w:vAlign w:val="center"/>
          </w:tcPr>
          <w:p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4.60%</w:t>
            </w:r>
          </w:p>
        </w:tc>
      </w:tr>
      <w:tr>
        <w:tblPrEx>
          <w:tblW w:w="8516" w:type="dxa"/>
          <w:jc w:val="center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34" w:type="dxa"/>
            <w:vAlign w:val="center"/>
          </w:tcPr>
          <w:p>
            <w:pPr>
              <w:rPr>
                <w:rFonts w:eastAsia="宋体" w:asciiTheme="minorEastAsia" w:hAnsiTheme="minorEastAsia" w:cstheme="minorEastAsia"/>
                <w:sz w:val="24"/>
                <w:szCs w:val="22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  <w:szCs w:val="22"/>
              </w:rPr>
              <w:t>折合年化收益率</w:t>
            </w:r>
          </w:p>
        </w:tc>
        <w:tc>
          <w:tcPr>
            <w:tcW w:w="4582" w:type="dxa"/>
            <w:vAlign w:val="center"/>
          </w:tcPr>
          <w:p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4.7006</w:t>
            </w:r>
            <w:r>
              <w:rPr>
                <w:sz w:val="24"/>
              </w:rPr>
              <w:t>%</w:t>
            </w:r>
          </w:p>
        </w:tc>
      </w:tr>
      <w:tr>
        <w:tblPrEx>
          <w:tblW w:w="8516" w:type="dxa"/>
          <w:jc w:val="center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34" w:type="dxa"/>
            <w:vAlign w:val="center"/>
          </w:tcPr>
          <w:p>
            <w:pPr>
              <w:rPr>
                <w:rFonts w:eastAsia="宋体" w:asciiTheme="minorEastAsia" w:hAnsiTheme="minorEastAsia" w:cstheme="minorEastAsia"/>
                <w:sz w:val="24"/>
                <w:szCs w:val="22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  <w:szCs w:val="22"/>
              </w:rPr>
              <w:t>固定管理费</w:t>
            </w:r>
          </w:p>
        </w:tc>
        <w:tc>
          <w:tcPr>
            <w:tcW w:w="4582" w:type="dxa"/>
            <w:vAlign w:val="center"/>
          </w:tcPr>
          <w:p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0.30%</w:t>
            </w:r>
          </w:p>
        </w:tc>
      </w:tr>
      <w:tr>
        <w:tblPrEx>
          <w:tblW w:w="8516" w:type="dxa"/>
          <w:jc w:val="center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34" w:type="dxa"/>
            <w:vAlign w:val="center"/>
          </w:tcPr>
          <w:p>
            <w:pPr>
              <w:rPr>
                <w:rFonts w:eastAsia="宋体" w:asciiTheme="minorEastAsia" w:hAnsiTheme="minorEastAsia" w:cstheme="minorEastAsia"/>
                <w:sz w:val="24"/>
                <w:szCs w:val="22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  <w:szCs w:val="22"/>
              </w:rPr>
              <w:t>销售服务费</w:t>
            </w:r>
          </w:p>
        </w:tc>
        <w:tc>
          <w:tcPr>
            <w:tcW w:w="4582" w:type="dxa"/>
            <w:vAlign w:val="center"/>
          </w:tcPr>
          <w:p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0.00%</w:t>
            </w:r>
          </w:p>
        </w:tc>
      </w:tr>
      <w:tr>
        <w:tblPrEx>
          <w:tblW w:w="8516" w:type="dxa"/>
          <w:jc w:val="center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34" w:type="dxa"/>
            <w:vAlign w:val="center"/>
          </w:tcPr>
          <w:p>
            <w:pPr>
              <w:rPr>
                <w:rFonts w:eastAsia="宋体" w:asciiTheme="minorEastAsia" w:hAnsiTheme="minorEastAsia" w:cstheme="minorEastAsia"/>
                <w:sz w:val="24"/>
                <w:szCs w:val="22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  <w:szCs w:val="22"/>
              </w:rPr>
              <w:t>浮动管理费</w:t>
            </w:r>
          </w:p>
        </w:tc>
        <w:tc>
          <w:tcPr>
            <w:tcW w:w="4582" w:type="dxa"/>
            <w:vAlign w:val="center"/>
          </w:tcPr>
          <w:p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80.00%</w:t>
            </w:r>
          </w:p>
        </w:tc>
      </w:tr>
      <w:tr>
        <w:tblPrEx>
          <w:tblW w:w="8516" w:type="dxa"/>
          <w:jc w:val="center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34" w:type="dxa"/>
            <w:vAlign w:val="center"/>
          </w:tcPr>
          <w:p>
            <w:pPr>
              <w:rPr>
                <w:rFonts w:eastAsia="宋体" w:asciiTheme="minorEastAsia" w:hAnsiTheme="minorEastAsia" w:cstheme="minorEastAsia"/>
                <w:sz w:val="24"/>
                <w:szCs w:val="22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  <w:szCs w:val="22"/>
              </w:rPr>
              <w:t>托管费</w:t>
            </w:r>
          </w:p>
        </w:tc>
        <w:tc>
          <w:tcPr>
            <w:tcW w:w="4582" w:type="dxa"/>
            <w:vAlign w:val="center"/>
          </w:tcPr>
          <w:p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0.025</w:t>
            </w:r>
            <w:r>
              <w:rPr>
                <w:sz w:val="24"/>
              </w:rPr>
              <w:t>%</w:t>
            </w:r>
          </w:p>
        </w:tc>
      </w:tr>
      <w:tr>
        <w:tblPrEx>
          <w:tblW w:w="8516" w:type="dxa"/>
          <w:jc w:val="center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34" w:type="dxa"/>
            <w:vAlign w:val="center"/>
          </w:tcPr>
          <w:p>
            <w:pPr>
              <w:rPr>
                <w:rFonts w:eastAsia="宋体" w:asciiTheme="minorEastAsia" w:hAnsiTheme="minorEastAsia" w:cstheme="minorEastAsia"/>
                <w:sz w:val="24"/>
                <w:szCs w:val="22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  <w:szCs w:val="22"/>
              </w:rPr>
              <w:t>其他费用</w:t>
            </w:r>
          </w:p>
        </w:tc>
        <w:tc>
          <w:tcPr>
            <w:tcW w:w="4582" w:type="dxa"/>
            <w:vAlign w:val="center"/>
          </w:tcPr>
          <w:p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0.00%</w:t>
            </w:r>
          </w:p>
        </w:tc>
      </w:tr>
      <w:tr>
        <w:tblPrEx>
          <w:tblW w:w="8516" w:type="dxa"/>
          <w:jc w:val="center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34" w:type="dxa"/>
            <w:vAlign w:val="center"/>
          </w:tcPr>
          <w:p>
            <w:pPr>
              <w:rPr>
                <w:rFonts w:eastAsia="宋体" w:asciiTheme="minorEastAsia" w:hAnsiTheme="minorEastAsia" w:cstheme="minorEastAsia"/>
                <w:sz w:val="24"/>
                <w:szCs w:val="22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  <w:szCs w:val="22"/>
              </w:rPr>
              <w:t>收益分配情况（单位：</w:t>
            </w:r>
            <w:r>
              <w:rPr>
                <w:sz w:val="24"/>
              </w:rPr>
              <w:t>万元</w:t>
            </w:r>
            <w:r>
              <w:rPr>
                <w:sz w:val="24"/>
              </w:rPr>
              <w:t>）</w:t>
            </w:r>
          </w:p>
        </w:tc>
        <w:tc>
          <w:tcPr>
            <w:tcW w:w="4582" w:type="dxa"/>
            <w:vAlign w:val="center"/>
          </w:tcPr>
          <w:p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1149.04</w:t>
            </w:r>
          </w:p>
        </w:tc>
      </w:tr>
    </w:tbl>
    <w:p>
      <w:pPr>
        <w:rPr>
          <w:rFonts w:asciiTheme="minorEastAsia" w:hAnsiTheme="minorEastAsia" w:cstheme="minorEastAsia"/>
          <w:sz w:val="24"/>
          <w:szCs w:val="22"/>
        </w:rPr>
      </w:pPr>
    </w:p>
    <w:p>
      <w:pPr>
        <w:ind w:firstLine="560" w:firstLineChars="200"/>
        <w:rPr>
          <w:rFonts w:asciiTheme="minorEastAsia" w:hAnsiTheme="minorEastAsia" w:cstheme="minorEastAsia"/>
          <w:sz w:val="28"/>
        </w:rPr>
      </w:pPr>
      <w:r>
        <w:rPr>
          <w:rFonts w:asciiTheme="minorEastAsia" w:hAnsiTheme="minorEastAsia" w:cstheme="minorEastAsia" w:hint="eastAsia"/>
          <w:sz w:val="28"/>
        </w:rPr>
        <w:t>特此公告。</w:t>
      </w:r>
    </w:p>
    <w:p>
      <w:pPr>
        <w:rPr>
          <w:rFonts w:asciiTheme="minorEastAsia" w:hAnsiTheme="minorEastAsia" w:cstheme="minorEastAsia"/>
          <w:sz w:val="24"/>
        </w:rPr>
      </w:pPr>
    </w:p>
    <w:p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注：</w:t>
      </w:r>
    </w:p>
    <w:p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理财计划财产在管理、运用、处分过程中产生的税费（包括但不限于增值税及相应的附加税费等），由理财计划财产承担；产品管理人对该等税费无垫付义务。前述税费（包括但不限于增值税及相应附加税费）的计算、提取及缴纳，由产品管理人按照应税行为发生时有效的相关法律法规的规定执行。支付给客户的理财收益的应纳税款由客户自行申报及缴纳。</w:t>
      </w:r>
    </w:p>
    <w:p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本理财产品终止日起，清算过程中各项利息及费用与实际结算金额的尾差由管理人承担。</w:t>
      </w:r>
    </w:p>
    <w:p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托管费：原则上按日计提，逐日累计至到期日从理财计划财产中扣除。</w:t>
      </w:r>
    </w:p>
    <w:p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固定管理费：原则上按日计提，逐日累计至到期日从理财计划财产中扣除。</w:t>
      </w:r>
    </w:p>
    <w:p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固定管理费、销售服务费、托管费、其他费用为对应费用的收取费率。浮动管理费为产品实际业绩超出产品说明书中约定的提取标准后，管理人对超出部分收取的超额业绩报酬比例。</w:t>
      </w:r>
    </w:p>
    <w:p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各期理财产品详细信息可根据产品登记编码登</w:t>
      </w:r>
      <w:r>
        <w:rPr>
          <w:rFonts w:asciiTheme="minorEastAsia" w:hAnsiTheme="minorEastAsia" w:cstheme="minorEastAsia" w:hint="eastAsia"/>
          <w:sz w:val="24"/>
          <w:lang w:val="en-US" w:eastAsia="zh-CN"/>
        </w:rPr>
        <w:t>录</w:t>
      </w:r>
      <w:bookmarkStart w:id="0" w:name="_GoBack"/>
      <w:bookmarkEnd w:id="0"/>
      <w:r>
        <w:rPr>
          <w:rFonts w:asciiTheme="minorEastAsia" w:hAnsiTheme="minorEastAsia" w:cstheme="minorEastAsia" w:hint="eastAsia"/>
          <w:sz w:val="24"/>
        </w:rPr>
        <w:t>中国理财网进行查询。</w:t>
      </w:r>
    </w:p>
    <w:p>
      <w:pPr>
        <w:ind w:left="360"/>
        <w:jc w:val="right"/>
        <w:rPr>
          <w:rFonts w:ascii="仿宋_GB2312" w:eastAsia="仿宋_GB2312" w:hAnsi="仿宋_GB2312" w:cs="仿宋_GB2312"/>
          <w:sz w:val="24"/>
        </w:rPr>
      </w:pPr>
    </w:p>
    <w:p>
      <w:pPr>
        <w:ind w:left="360"/>
        <w:jc w:val="right"/>
        <w:rPr>
          <w:rFonts w:ascii="仿宋_GB2312" w:eastAsia="仿宋_GB2312" w:hAnsi="仿宋_GB2312" w:cs="仿宋_GB2312"/>
          <w:sz w:val="28"/>
          <w:szCs w:val="28"/>
        </w:rPr>
      </w:pPr>
    </w:p>
    <w:p>
      <w:pPr>
        <w:ind w:left="360"/>
        <w:jc w:val="righ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杭银理财有限责任公司</w:t>
      </w:r>
    </w:p>
    <w:p>
      <w:pPr>
        <w:jc w:val="righ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2025年5月28日</w:t>
      </w:r>
    </w:p>
    <w:sectPr>
      <w:headerReference w:type="default" r:id="rId5"/>
      <w:pgSz w:w="11906" w:h="16838"/>
      <w:pgMar w:top="2551" w:right="1803" w:bottom="2551" w:left="1803" w:header="851" w:footer="992" w:gutter="0"/>
      <w:cols w:num="1" w:space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D3811CC"/>
    <w:multiLevelType w:val="multilevel"/>
    <w:tmpl w:val="1D3811C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94"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1E34DE"/>
    <w:rsid w:val="00200A72"/>
    <w:rsid w:val="002469CB"/>
    <w:rsid w:val="003841A4"/>
    <w:rsid w:val="00412E97"/>
    <w:rsid w:val="005200AA"/>
    <w:rsid w:val="00573563"/>
    <w:rsid w:val="00592C06"/>
    <w:rsid w:val="00603D57"/>
    <w:rsid w:val="00632F14"/>
    <w:rsid w:val="0073172D"/>
    <w:rsid w:val="007A3E72"/>
    <w:rsid w:val="009D66D1"/>
    <w:rsid w:val="00C47DF8"/>
    <w:rsid w:val="00C87BF7"/>
    <w:rsid w:val="00D00D6A"/>
    <w:rsid w:val="050F5184"/>
    <w:rsid w:val="0AB0656E"/>
    <w:rsid w:val="0CB459D4"/>
    <w:rsid w:val="151D7E14"/>
    <w:rsid w:val="18462C74"/>
    <w:rsid w:val="190B63BC"/>
    <w:rsid w:val="1F0A0FE5"/>
    <w:rsid w:val="1F48553E"/>
    <w:rsid w:val="21F964F5"/>
    <w:rsid w:val="28362D7D"/>
    <w:rsid w:val="2AB67C98"/>
    <w:rsid w:val="3286081F"/>
    <w:rsid w:val="3BF50A6E"/>
    <w:rsid w:val="3C231661"/>
    <w:rsid w:val="3E174A3C"/>
    <w:rsid w:val="3ED86525"/>
    <w:rsid w:val="3F221A4C"/>
    <w:rsid w:val="3FC04F0B"/>
    <w:rsid w:val="447B660D"/>
    <w:rsid w:val="462266D9"/>
    <w:rsid w:val="4C4A04BD"/>
    <w:rsid w:val="50B7489E"/>
    <w:rsid w:val="50DC0E7A"/>
    <w:rsid w:val="548E4345"/>
    <w:rsid w:val="595715BE"/>
    <w:rsid w:val="5A7F5A78"/>
    <w:rsid w:val="600F7924"/>
    <w:rsid w:val="612B75BF"/>
    <w:rsid w:val="661D745C"/>
    <w:rsid w:val="6687052B"/>
    <w:rsid w:val="6B6670CE"/>
    <w:rsid w:val="6D5B6E8B"/>
    <w:rsid w:val="6D623B7E"/>
    <w:rsid w:val="6E683E61"/>
    <w:rsid w:val="71B3167E"/>
    <w:rsid w:val="78026722"/>
    <w:rsid w:val="79337090"/>
    <w:rsid w:val="7EA037DA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 w:qFormat="1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nhideWhenUsed="0" w:qFormat="1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qFormat/>
    <w:pPr>
      <w:jc w:val="left"/>
    </w:p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567</Words>
  <Characters>292</Characters>
  <Application>Microsoft Office Word</Application>
  <DocSecurity>0</DocSecurity>
  <Lines>2</Lines>
  <Paragraphs>1</Paragraphs>
  <ScaleCrop>false</ScaleCrop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高玉锦</cp:lastModifiedBy>
  <cp:revision>10</cp:revision>
  <dcterms:created xsi:type="dcterms:W3CDTF">2022-08-17T14:47:00Z</dcterms:created>
  <dcterms:modified xsi:type="dcterms:W3CDTF">2025-05-26T08:51:53Z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