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杭银理财幸福99丰裕固收23062期（稳利低波款）理财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杭银理财幸福99丰裕固收23062期（稳利低波款）理财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FYG23062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Z7002223000070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2023年3月30日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2025年5月29日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4.40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1,221,422,700.07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127.42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1,221,422,700.07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1,120,090,585.00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1.0905</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1.0905</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丰裕固收23062期A款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FYG23062A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1.0899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1.0899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1,047,891,004.03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丰裕固收23062期D款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FYG23062D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1.0940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1.0940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173,531,696.04</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丰裕固收23062期A款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4.48</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丰裕固收23062期D款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4.54</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4.69</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79.96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79.96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19.97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19.97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23宁波象港05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136,707,723.97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11.19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22金华金开PPN001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93,308,809.53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7.64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20成都开投PPN001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83,487,026.19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6.84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20成都兴锦PPN001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73,294,566.00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6.00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22镜湖建投PPN001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72,284,485.16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5.92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23河源润业02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71,659,407.53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5.87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22江宁交通PPN001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62,112,151.96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22空港城发PPN001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61,976,788.91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20舟海02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52,478,525.16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23洛阳城乡PPN002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52,150,010.31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4.27</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315,109,417.85</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25.80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四会市国有资产经营有限公司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23四会国资01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2025-05-21</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50,910,344.52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每半年付息，到期一次还本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宁波象港开发控股集团有限公司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23宁波象港05</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2025-04-17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136,707,723.97</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宿州市高新建设投资有限责任公司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23宿州高新01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2025-04-19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51,458,323.97</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每半年付息，到期一次还本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河源市润业投资有限公司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23河源润业02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2025-05-12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71,659,407.53</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每半年付息，到期一次还本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1,120,090,585.00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1,120,090,585.00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杭银理财幸福99丰裕固收23062期（稳利低波款）理财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3301040160015309811-5123062</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