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杭银理财幸福99丰裕固收（混合估值）749天23129期理财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杭银理财幸福99丰裕固收（混合估值）749天23129期理财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FYG23129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Z7002223000165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2023年7月20日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2025年8月7日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324,632,660.37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110.30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324,632,660.37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303,451,230.00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1.0698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1.0698</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丰裕固收23129期A款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FYG23129A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1.0695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1.0695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272,480,686.07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丰裕固收23129期D款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FYG23129D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1.0712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1.0712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52,151,974.30</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丰裕固收23129期A款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丰裕固收23129期D款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70.84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70.84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12.07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28.86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16.79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60,108,236.52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18.52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43,218,171.45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13.31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23沛县城投PPN006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30,822,978.84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23德达城建MTN003A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25,651,349.99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7.90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23中信银行绿色金融债01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25,266,604.79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23红谷滩PPN001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21,092,449.59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24即墨旅投PPN002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20,673,904.93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22望城01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20,496,808.25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23香城投资MTN001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20,436,688.49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23济南高新MTN003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15,683,700.21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4.83</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30,009,205.50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9.24</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60,108,236.52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金华金开国有资本投资有限公司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2025-07-02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43,218,171.45</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303,451,230.00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303,451,230.00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杭银理财幸福99丰裕固收23129期理财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3301040160015309811-5123129</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