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杭银理财幸福99金钱包4号理财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2025年4月15日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2025年3月31日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2025年1月1日</w:t>
            </w:r>
            <w:r>
              <w:rPr>
                <w:rFonts w:ascii="仿宋" w:eastAsia="仿宋" w:hAnsi="仿宋" w:hint="eastAsia"/>
                <w:color w:val="404040"/>
                <w:kern w:val="0"/>
                <w:sz w:val="24"/>
              </w:rPr>
              <w:t>起至</w:t>
            </w:r>
            <w:r>
              <w:rPr>
                <w:rFonts w:ascii="仿宋" w:eastAsia="仿宋" w:hAnsi="仿宋" w:cs="仿宋"/>
                <w:color w:val="404040"/>
                <w:sz w:val="24"/>
              </w:rPr>
              <w:t>2025年3月31日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杭银理财幸福99金钱包4号理财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JQB2304</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Z7002223000137</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2023年7月12日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1,309,813,688.71</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100.05</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2025年1月1日</w:t>
            </w:r>
            <w:r>
              <w:rPr>
                <w:rFonts w:ascii="仿宋" w:eastAsia="仿宋" w:hAnsi="仿宋" w:hint="eastAsia"/>
                <w:color w:val="000000"/>
                <w:kern w:val="0"/>
                <w:sz w:val="24"/>
              </w:rPr>
              <w:t>-</w:t>
            </w:r>
            <w:r>
              <w:rPr>
                <w:rFonts w:ascii="仿宋" w:eastAsia="仿宋" w:hAnsi="仿宋" w:cs="仿宋"/>
                <w:color w:val="000000"/>
                <w:sz w:val="24"/>
              </w:rPr>
              <w:t>2025年3月31日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1,309,813,688.71</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1,309,813,688.71</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金钱包4号A款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1,136,329,744.86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金钱包4号B款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151,221,992.72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金钱包4号G款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JQB2304G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19,418,537.47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金钱包4号H款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JQB2304H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2,832,291.12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金钱包4号I款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JQB2304I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11,122.54</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金钱包4号A款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金钱包4号B款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金钱包4号G款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金钱包4号H款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金钱包4号I款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1.67</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按现金管理产品相关要求配置回购、存款、短久期债券固收类资产，债券部分以同业存单及高等级信用债为主。产品于一季度资金收紧阶段主动压降杠杆，并逢收益率高点积极配置资产，整体保持了较好的业绩表现。</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资金面有望逐步宽松。策略上，将根据资金面实际情况灵活调整杠杆水平，适时把握同业存单阶段性交易机会。</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1.73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3.13</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30.34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54.34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15.27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31.27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5.06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11.27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47.60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24浦发银行CD170</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99,574,859.24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24中国银行CD038</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99,398,957.17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24光大银行CD155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99,247,787.60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7.58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质押式逆回购(991193)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56,019,945.20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24进出04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50,759,838.67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3.88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24中国银行CD021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49,903,350.43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3.81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质押式逆回购(991649)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48,013,676.71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3.67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质押式逆回购(991191)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44,015,671.25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质押式逆回购(991645)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36,010,257.53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质押式逆回购(023029-000067)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28,677,523.07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2.19</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1,532,711,345.27</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1,309,813,688.71</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9,411,924.08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9,382,542.91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9,366,954.82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0.72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8,191,801.52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0.63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7,720,045.65</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7,023,179.14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0.54</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5,274,188.78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5,007,816.53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4,852,876.30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4,278,179.66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2023-08-01</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71,000.00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23.70</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-23.70</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个人</w:t>
            </w:r>
          </w:p>
        </w:tc>
        <w:tc>
          <w:tcPr>
            <w:tcW w:w="1462"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2023-08-01</w:t>
            </w:r>
          </w:p>
        </w:tc>
        <w:tc>
          <w:tcPr>
            <w:tcW w:w="1730"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150,000.00</w:t>
            </w:r>
          </w:p>
        </w:tc>
        <w:tc>
          <w:tcPr>
            <w:tcW w:w="1105"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50.08</w:t>
            </w:r>
          </w:p>
        </w:tc>
        <w:tc>
          <w:tcPr>
            <w:tcW w:w="144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993"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0.00</w:t>
            </w:r>
          </w:p>
        </w:tc>
        <w:tc>
          <w:tcPr>
            <w:tcW w:w="11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-50.08</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杭银理财幸福99金钱包4号理财</w:t>
      </w:r>
      <w:r>
        <w:rPr>
          <w:rFonts w:ascii="仿宋" w:eastAsia="仿宋" w:hAnsi="仿宋" w:hint="eastAsia"/>
          <w:sz w:val="24"/>
        </w:rPr>
        <w:t>现金管理类理财产品</w:t>
      </w:r>
      <w:r>
        <w:rPr>
          <w:rFonts w:ascii="仿宋" w:eastAsia="仿宋" w:hAnsi="仿宋" w:cs="仿宋"/>
          <w:sz w:val="24"/>
        </w:rPr>
        <w:t>曾</w:t>
      </w:r>
      <w:r>
        <w:rPr>
          <w:rFonts w:ascii="仿宋" w:eastAsia="仿宋" w:hAnsi="仿宋" w:cs="仿宋"/>
          <w:sz w:val="24"/>
        </w:rPr>
        <w:t>出现单一投资者持仓份额超过产品总份额20%的情况。截至</w:t>
      </w:r>
      <w:r>
        <w:rPr>
          <w:rFonts w:ascii="仿宋" w:eastAsia="仿宋" w:hAnsi="仿宋" w:cs="仿宋"/>
          <w:sz w:val="24"/>
        </w:rPr>
        <w:t>2025年3月31日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77,419.14</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杭银理财幸福99金钱包4号理财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3301040160015309811-322304</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2025年4月15日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