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杭银理财幸福99丰裕固收（混合估值）两年23140期理财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杭银理财幸福99丰裕固收（混合估值）两年23140期理财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Z7002223000176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2023年8月3日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211,309,348.40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109.85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211,309,348.40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197,878,782.00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1.0679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1.0679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丰裕固收23140期A款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FYG23140A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1.0675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166,891,757.37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丰裕固收23140期D款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FYG23140D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44,417,591.03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丰裕固收23140期A款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丰裕固收23140期D款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50.31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58.93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华鑫信托·宁波奉化锦胜信托贷款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42,023,889.33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中信信托·宁波象山交通信托贷款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35,034,972.20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18,525,416.34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23沛县国资PPN006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16,562,734.69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22北建02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16,531,529.05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23青岛北发MTN003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16,349,589.78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23泰山G1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15,858,512.47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15,641,190.00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22仲恺城发债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15,459,811.85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22高淳国资MTN002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10,303,547.67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19,005,855.07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8.99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宁波市奉化区锦胜开发建设有限公司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华鑫信托·宁波奉化锦胜信托贷款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42,023,889.33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宁波象山交通开发建设集团有限公司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中信信托·宁波象山交通信托贷款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35,034,972.20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18,525,416.34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197,878,782.00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197,878,782.00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杭银理财幸福99丰裕固收23140期理财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3301040160015309811-5123140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