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杭银理财幸福99丰裕固收（混合估值）两年23135期理财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杭银理财幸福99丰裕固收（混合估值）两年23135期理财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FYG23135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2023年7月27日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2025年8月28日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203,378,473.99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105.64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203,378,473.99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190,317,446.00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1.0686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1.0686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丰裕固收23135期A款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FYG23135A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1.0680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131,043,642.82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丰裕固收23135期D款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FYG23135D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72,334,831.17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丰裕固收23135期A款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丰裕固收23135期D款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54.73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华鑫信托·宁波奉化锦胜信托贷款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43,024,458.21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中信信托·宁波象山交通信托贷款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35,034,972.20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15,641,190.00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华夏纯债债券型证券投资基金A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15,307,378.39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23中信银行绿色金融债01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15,159,962.88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14,019,234.00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23泰山G1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10,572,341.64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23沛县城投PPN007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10,264,772.04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23胶州城投MTN003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10,260,221.59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22望城01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10,248,393.29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10,003,561.65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4.92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宁波市奉化区锦胜开发建设有限公司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华鑫信托·宁波奉化锦胜信托贷款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43,024,458.21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宁波象山交通开发建设集团有限公司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中信信托·宁波象山交通信托贷款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35,034,972.20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14,019,234.00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190,317,446.00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190,317,446.00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杭银理财幸福99丰裕固收23135期理财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3301040160015309811-5123135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