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杭银理财幸福99丰裕固收23065期（稳利低波款）理财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杭银理财幸福99丰裕固收23065期（稳利低波款）理财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Z7002223000072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2023年4月7日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2025年6月5日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4.30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741,424,910.07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128.77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741,424,910.07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681,261,807.00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1.0883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1.0883</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1.0871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1.0871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519,315,037.24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1.0911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1.0911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222,109,872.83</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4.39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4.59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77.47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77.47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22.33</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22.33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63,537,871.23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8.57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20成都兴锦PPN001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59,682,717.79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8.05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23德清中创PPN001(项目收益)</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52,979,364.98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21迈瑞04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52,861,030.17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52,448,770.55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22盛裕投资MTN002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51,933,891.85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22历下控股PPN001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51,687,472.50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22江北新城PPN003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51,556,491.73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50,981,797.26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46,220,827.10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6.23</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201,057,581.36</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27.12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淮安新城投资开发有限公司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23淮安新城06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2025-04-13</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63,537,871.23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淮安高新控股有限公司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23淮安高新05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52,448,770.55</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盐城市国有资产投资集团有限公司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23盐城国资06</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2025-05-26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46,220,827.10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肇庆新区投资发展有限公司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23肇庆新区01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2025-06-04</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50,981,797.26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681,261,807.00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681,261,807.00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杭银理财幸福99丰裕固收23065期（稳利低波款）理财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3301040160015309811-5123065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