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2025年03月14日</w:t>
      </w:r>
      <w:r>
        <w:rPr>
          <w:rFonts w:ascii="楷体" w:eastAsia="楷体" w:hAnsi="楷体" w:cs="楷体" w:hint="eastAsia"/>
        </w:rPr>
        <w:t xml:space="preserve">成立，于</w:t>
      </w:r>
      <w:r>
        <w:rPr>
          <w:rFonts w:ascii="楷体" w:eastAsia="楷体" w:hAnsi="楷体" w:cs="楷体" w:hint="eastAsia"/>
          <w:spacing w:val="-7"/>
        </w:rPr>
        <w:t xml:space="preserve">2025年03月14日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365,131,200.00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371,972,626.08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31000188000636871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402,733,987.91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108.27%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苏银理财恒源目标盈34期（最低运作期383天）A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1.018736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1.018736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37.99%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46.69%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15.32%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53.31%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46.69%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光大永明-安鑫5号-第3期-蚂蚁借呗-优先</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56,705,216.10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泰康资产-元兴1号-第4期（抖音小微）-优先C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46,058,350.66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32,763,841.93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23南航租赁MTN001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31,382,469.86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24海州湾PPN001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31,054,000.27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25农租Y1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30,309,153.29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25大行01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30,285,033.29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25盐高02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29,864,331.78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光大永明-安鑫5号-第2期-蚂蚁借呗-次级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28,860,559.28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上海信托-新毅12号-网商银行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23,771,681.44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光大永明-安鑫5号-第3期-蚂蚁借呗-优先</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56,000,000.00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泰康资产-元兴1号-第4期（抖音小微）-优先C</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光大永明-安鑫5号-第2期-蚂蚁借呗-次级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上海信托-新毅12号-网商银行</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23,300,000.00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光大永明-安鑫5号-第2期-蚂蚁借呗-优先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网商银行小微贷款资产借款人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11,351,693.00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2,664,355.00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90,606.20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18,676.94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365,131,200.00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365,131,200.00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28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9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9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9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2025-10-21T10:55:55Z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