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sz w:val="36"/>
          <w:szCs w:val="36"/>
        </w:rPr>
        <w:t xml:space="preserve">“</w:t>
      </w:r>
      <w:r>
        <w:rPr>
          <w:rFonts w:ascii="楷体" w:eastAsia="楷体" w:hAnsi="楷体" w:cs="楷体" w:hint="eastAsia"/>
          <w:b/>
          <w:bCs/>
          <w:spacing w:val="-1"/>
          <w:sz w:val="36"/>
          <w:szCs w:val="36"/>
        </w:rPr>
        <w:t xml:space="preserve">苏银理财恒源封闭三年鑫利18期</w:t>
      </w:r>
      <w:r>
        <w:rPr>
          <w:rFonts w:ascii="楷体" w:eastAsia="楷体" w:hAnsi="楷体" w:cs="楷体" w:hint="eastAsia"/>
          <w:b/>
          <w:sz w:val="36"/>
          <w:szCs w:val="36"/>
        </w:rPr>
        <w:t xml:space="preserve">”理财产品</w:t>
      </w:r>
    </w:p>
    <w:p>
      <w:pPr>
        <w:pStyle w:val="Normal(Web)"/>
        <w:spacing w:before="0" w:beforeAutospacing="0" w:after="0" w:afterAutospacing="0"/>
        <w:jc w:val="center"/>
        <w:rPr>
          <w:rFonts w:ascii="楷体" w:eastAsia="楷体" w:hAnsi="楷体" w:cs="楷体" w:hint="eastAsia"/>
          <w:b/>
          <w:sz w:val="36"/>
          <w:szCs w:val="36"/>
        </w:rPr>
      </w:pPr>
      <w:r>
        <w:rPr>
          <w:rFonts w:ascii="楷体" w:eastAsia="楷体" w:hAnsi="楷体" w:cs="楷体" w:hint="eastAsia"/>
          <w:b/>
          <w:bCs/>
          <w:spacing w:val="4"/>
          <w:sz w:val="36"/>
          <w:szCs w:val="36"/>
        </w:rPr>
        <w:t xml:space="preserve">2025年三季度</w:t>
      </w:r>
      <w:r>
        <w:rPr>
          <w:rFonts w:ascii="楷体" w:eastAsia="楷体" w:hAnsi="楷体" w:cs="楷体" w:hint="eastAsia"/>
          <w:b/>
          <w:sz w:val="36"/>
          <w:szCs w:val="36"/>
        </w:rPr>
        <w:t xml:space="preserve">投资管理报告</w:t>
      </w:r>
    </w:p>
    <w:p>
      <w:pPr>
        <w:pStyle w:val="Normal(Web)"/>
        <w:spacing w:before="0" w:beforeAutospacing="0" w:after="0" w:afterAutospacing="0" w:line="360" w:lineRule="auto"/>
        <w:rPr>
          <w:rFonts w:ascii="楷体" w:eastAsia="楷体" w:hAnsi="楷体" w:cs="楷体" w:hint="eastAsia"/>
        </w:rPr>
      </w:pPr>
      <w:r>
        <w:rPr>
          <w:rFonts w:ascii="楷体" w:eastAsia="楷体" w:hAnsi="楷体" w:cs="楷体" w:hint="eastAsia"/>
        </w:rPr>
        <w:t xml:space="preserve">尊敬的投资者：</w:t>
      </w:r>
    </w:p>
    <w:p>
      <w:pPr>
        <w:pStyle w:val="Normal(Web)"/>
        <w:spacing w:before="0" w:beforeAutospacing="0" w:after="0" w:afterAutospacing="0" w:line="360" w:lineRule="auto"/>
        <w:ind w:firstLine="566" w:firstLineChars="236"/>
        <w:rPr>
          <w:rFonts w:ascii="楷体" w:eastAsia="楷体" w:hAnsi="楷体" w:cs="楷体" w:hint="eastAsia"/>
        </w:rPr>
      </w:pPr>
      <w:r>
        <w:rPr>
          <w:rFonts w:ascii="楷体" w:eastAsia="楷体" w:hAnsi="楷体" w:cs="楷体" w:hint="eastAsia"/>
        </w:rPr>
        <w:t xml:space="preserve">“</w:t>
      </w:r>
      <w:r>
        <w:rPr>
          <w:rFonts w:ascii="楷体" w:eastAsia="楷体" w:hAnsi="楷体" w:cs="楷体" w:hint="eastAsia"/>
          <w:spacing w:val="-7"/>
        </w:rPr>
        <w:t xml:space="preserve">苏银理财恒源封闭三年鑫利18期</w:t>
      </w:r>
      <w:r>
        <w:rPr>
          <w:rFonts w:ascii="楷体" w:eastAsia="楷体" w:hAnsi="楷体" w:cs="楷体" w:hint="eastAsia"/>
        </w:rPr>
        <w:t xml:space="preserve">”理财产品于</w:t>
      </w:r>
      <w:r>
        <w:rPr>
          <w:rFonts w:ascii="楷体" w:eastAsia="楷体" w:hAnsi="楷体" w:cs="楷体" w:hint="eastAsia"/>
          <w:spacing w:val="-53"/>
        </w:rPr>
        <w:t xml:space="preserve"> </w:t>
      </w:r>
      <w:r>
        <w:rPr>
          <w:rFonts w:ascii="楷体" w:eastAsia="楷体" w:hAnsi="楷体" w:cs="楷体" w:hint="eastAsia"/>
          <w:spacing w:val="-7"/>
        </w:rPr>
        <w:t xml:space="preserve">2024年11月07日</w:t>
      </w:r>
      <w:r>
        <w:rPr>
          <w:rFonts w:ascii="楷体" w:eastAsia="楷体" w:hAnsi="楷体" w:cs="楷体" w:hint="eastAsia"/>
        </w:rPr>
        <w:t xml:space="preserve">成立，于</w:t>
      </w:r>
      <w:r>
        <w:rPr>
          <w:rFonts w:ascii="楷体" w:eastAsia="楷体" w:hAnsi="楷体" w:cs="楷体" w:hint="eastAsia"/>
          <w:spacing w:val="-7"/>
        </w:rPr>
        <w:t xml:space="preserve">2024年11月07日</w:t>
      </w:r>
      <w:r>
        <w:rPr>
          <w:rFonts w:ascii="楷体" w:eastAsia="楷体" w:hAnsi="楷体" w:cs="楷体" w:hint="eastAsia"/>
        </w:rPr>
        <w:t xml:space="preserve">正式投资运作。</w:t>
      </w:r>
    </w:p>
    <w:p>
      <w:pPr>
        <w:pStyle w:val="Normal(Web)"/>
        <w:spacing w:before="0" w:beforeAutospacing="0" w:after="0" w:afterAutospacing="0" w:line="360" w:lineRule="auto"/>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一</w:t>
      </w:r>
      <w:bookmarkStart w:id="0" w:name="_Toc535504139"/>
      <w:r>
        <w:rPr>
          <w:rFonts w:ascii="楷体" w:eastAsia="楷体" w:hAnsi="楷体" w:cs="楷体" w:hint="eastAsia"/>
        </w:rPr>
        <w:t xml:space="preserve">、产品基本情况</w:t>
      </w:r>
      <w:bookmarkEnd w:id="0"/>
    </w:p>
    <w:tbl>
      <w:tblPr>
        <w:tblStyle w:val="TableNormal"/>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4774"/>
        <w:gridCol w:w="3847"/>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产品名称</w:t>
            </w:r>
          </w:p>
        </w:tc>
        <w:tc>
          <w:tcPr>
            <w:tcW w:w="3847" w:type="dxa"/>
          </w:tcPr>
          <w:p>
            <w:pPr>
              <w:pStyle w:val="TableText"/>
              <w:spacing w:before="56" w:line="202" w:lineRule="auto"/>
              <w:jc w:val="center"/>
              <w:rPr>
                <w:rFonts w:ascii="楷体" w:eastAsia="楷体" w:hAnsi="楷体" w:cs="楷体" w:hint="eastAsia"/>
                <w:sz w:val="22"/>
                <w:szCs w:val="22"/>
                <w:highlight w:val="yellow"/>
              </w:rPr>
            </w:pPr>
            <w:r>
              <w:rPr>
                <w:rFonts w:ascii="楷体" w:eastAsia="楷体" w:hAnsi="楷体" w:cs="楷体" w:hint="eastAsia"/>
                <w:spacing w:val="-6"/>
                <w:sz w:val="22"/>
                <w:szCs w:val="22"/>
              </w:rPr>
              <w:t xml:space="preserve">苏银理财恒源封闭三年鑫利18期</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全国银行业理财信息登记系统登记编码</w:t>
            </w:r>
          </w:p>
        </w:tc>
        <w:tc>
          <w:tcPr>
            <w:tcW w:w="3847" w:type="dxa"/>
          </w:tcPr>
          <w:p>
            <w:pPr>
              <w:pStyle w:val="TableText"/>
              <w:spacing w:before="85" w:line="176"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Z7003124000127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产品运作方式</w:t>
            </w:r>
          </w:p>
        </w:tc>
        <w:tc>
          <w:tcPr>
            <w:tcW w:w="3847" w:type="dxa"/>
          </w:tcPr>
          <w:p>
            <w:pPr>
              <w:pStyle w:val="TableText"/>
              <w:spacing w:before="52" w:line="201" w:lineRule="auto"/>
              <w:jc w:val="center"/>
              <w:rPr>
                <w:rFonts w:ascii="楷体" w:eastAsia="楷体" w:hAnsi="楷体" w:cs="楷体" w:hint="eastAsia"/>
                <w:sz w:val="22"/>
                <w:szCs w:val="22"/>
                <w:highlight w:val="yellow"/>
              </w:rPr>
            </w:pPr>
            <w:r>
              <w:rPr>
                <w:rFonts w:ascii="楷体" w:eastAsia="楷体" w:hAnsi="楷体" w:cs="楷体" w:hint="eastAsia"/>
                <w:spacing w:val="-2"/>
                <w:sz w:val="22"/>
                <w:szCs w:val="22"/>
              </w:rPr>
              <w:t xml:space="preserve">封闭式净值型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报告期末产品存续份额（份）</w:t>
            </w:r>
          </w:p>
        </w:tc>
        <w:tc>
          <w:tcPr>
            <w:tcW w:w="3847" w:type="dxa"/>
          </w:tcPr>
          <w:p>
            <w:pPr>
              <w:pStyle w:val="TableText"/>
              <w:spacing w:before="87" w:line="174"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12,466,031.00</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产品资产净值（元）</w:t>
            </w:r>
          </w:p>
        </w:tc>
        <w:tc>
          <w:tcPr>
            <w:tcW w:w="3847" w:type="dxa"/>
          </w:tcPr>
          <w:p>
            <w:pPr>
              <w:pStyle w:val="TableText"/>
              <w:spacing w:before="78" w:line="182"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12,504,376.23</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风险收益特征</w:t>
            </w:r>
          </w:p>
        </w:tc>
        <w:tc>
          <w:tcPr>
            <w:tcW w:w="3847" w:type="dxa"/>
          </w:tcPr>
          <w:p>
            <w:pPr>
              <w:pStyle w:val="TableText"/>
              <w:spacing w:before="54" w:line="200" w:lineRule="auto"/>
              <w:jc w:val="center"/>
              <w:rPr>
                <w:rFonts w:ascii="楷体" w:eastAsia="楷体" w:hAnsi="楷体" w:cs="楷体" w:hint="eastAsia"/>
                <w:sz w:val="22"/>
                <w:szCs w:val="22"/>
                <w:highlight w:val="yellow"/>
              </w:rPr>
            </w:pPr>
            <w:r>
              <w:rPr>
                <w:rFonts w:ascii="楷体" w:eastAsia="楷体" w:hAnsi="楷体" w:cs="楷体" w:hint="eastAsia"/>
                <w:spacing w:val="-8"/>
                <w:sz w:val="22"/>
                <w:szCs w:val="22"/>
              </w:rPr>
              <w:t xml:space="preserve">中低风险型</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收益类型</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9"/>
                <w:sz w:val="22"/>
                <w:szCs w:val="22"/>
              </w:rPr>
              <w:t xml:space="preserve">固定收益类</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管理人</w:t>
            </w:r>
          </w:p>
        </w:tc>
        <w:tc>
          <w:tcPr>
            <w:tcW w:w="3847" w:type="dxa"/>
          </w:tcPr>
          <w:p>
            <w:pPr>
              <w:pStyle w:val="TableText"/>
              <w:spacing w:before="55" w:line="200"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苏银理财有限责任公司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托管人</w:t>
            </w:r>
          </w:p>
        </w:tc>
        <w:tc>
          <w:tcPr>
            <w:tcW w:w="3847" w:type="dxa"/>
          </w:tcPr>
          <w:p>
            <w:pPr>
              <w:pStyle w:val="TableText"/>
              <w:spacing w:before="56" w:line="199" w:lineRule="auto"/>
              <w:jc w:val="center"/>
              <w:rPr>
                <w:rFonts w:ascii="楷体" w:eastAsia="楷体" w:hAnsi="楷体" w:cs="楷体" w:hint="eastAsia"/>
                <w:sz w:val="22"/>
                <w:szCs w:val="22"/>
                <w:highlight w:val="yellow"/>
              </w:rPr>
            </w:pPr>
            <w:r>
              <w:rPr>
                <w:rFonts w:ascii="楷体" w:eastAsia="楷体" w:hAnsi="楷体" w:cs="楷体" w:hint="eastAsia"/>
                <w:spacing w:val="-3"/>
                <w:sz w:val="22"/>
                <w:szCs w:val="22"/>
              </w:rPr>
              <w:t xml:space="preserve">江苏银行股份有限公司</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w:t>
            </w:r>
          </w:p>
        </w:tc>
        <w:tc>
          <w:tcPr>
            <w:tcW w:w="3847" w:type="dxa"/>
          </w:tcPr>
          <w:p>
            <w:pPr>
              <w:pStyle w:val="TableText"/>
              <w:spacing w:before="90" w:line="173" w:lineRule="auto"/>
              <w:jc w:val="center"/>
              <w:rPr>
                <w:rFonts w:ascii="楷体" w:eastAsia="楷体" w:hAnsi="楷体" w:cs="楷体" w:hint="eastAsia"/>
                <w:sz w:val="22"/>
                <w:szCs w:val="22"/>
                <w:highlight w:val="yellow"/>
              </w:rPr>
            </w:pPr>
            <w:r>
              <w:rPr>
                <w:rFonts w:ascii="楷体" w:eastAsia="楷体" w:hAnsi="楷体" w:cs="楷体" w:hint="eastAsia"/>
                <w:spacing w:val="-1"/>
                <w:sz w:val="22"/>
                <w:szCs w:val="22"/>
              </w:rPr>
              <w:t xml:space="preserve">31000188000626877</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托管账户开户行</w:t>
            </w:r>
          </w:p>
        </w:tc>
        <w:tc>
          <w:tcPr>
            <w:tcW w:w="3847" w:type="dxa"/>
          </w:tcPr>
          <w:p>
            <w:pPr>
              <w:pStyle w:val="TableText"/>
              <w:spacing w:before="56" w:line="199" w:lineRule="auto"/>
              <w:jc w:val="center"/>
              <w:rPr>
                <w:rFonts w:ascii="楷体" w:eastAsia="楷体" w:hAnsi="楷体" w:cs="楷体" w:hint="eastAsia"/>
                <w:sz w:val="22"/>
                <w:szCs w:val="22"/>
              </w:rPr>
            </w:pPr>
            <w:r>
              <w:rPr>
                <w:rFonts w:ascii="楷体" w:eastAsia="楷体" w:hAnsi="楷体" w:cs="楷体" w:hint="eastAsia"/>
                <w:spacing w:val="-2"/>
                <w:sz w:val="22"/>
                <w:szCs w:val="22"/>
              </w:rPr>
              <w:t xml:space="preserve">江苏银行股份有限公司营业部</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产品资产总值（元）</w:t>
            </w:r>
          </w:p>
        </w:tc>
        <w:tc>
          <w:tcPr>
            <w:tcW w:w="3847" w:type="dxa"/>
          </w:tcPr>
          <w:p>
            <w:pPr>
              <w:pStyle w:val="TableText"/>
              <w:spacing w:before="81" w:line="180" w:lineRule="auto"/>
              <w:jc w:val="center"/>
              <w:rPr>
                <w:rFonts w:ascii="楷体" w:eastAsia="楷体" w:hAnsi="楷体" w:cs="楷体" w:hint="eastAsia"/>
                <w:sz w:val="22"/>
                <w:szCs w:val="22"/>
              </w:rPr>
            </w:pPr>
            <w:r>
              <w:rPr>
                <w:rFonts w:ascii="楷体" w:eastAsia="楷体" w:hAnsi="楷体" w:cs="楷体" w:hint="eastAsia"/>
                <w:spacing w:val="-1"/>
                <w:sz w:val="22"/>
                <w:szCs w:val="22"/>
              </w:rPr>
              <w:t xml:space="preserve">12,505,076.30</w:t>
            </w:r>
            <w:r>
              <w:rPr>
                <w:rFonts w:ascii="楷体" w:eastAsia="楷体" w:hAnsi="楷体" w:cs="楷体" w:hint="eastAsia"/>
                <w:spacing w:val="-29"/>
                <w:sz w:val="22"/>
                <w:szCs w:val="22"/>
              </w:rPr>
              <w:t xml:space="preserve"> </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477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杠杆水平</w:t>
            </w:r>
          </w:p>
        </w:tc>
        <w:tc>
          <w:tcPr>
            <w:tcW w:w="3847" w:type="dxa"/>
          </w:tcPr>
          <w:p>
            <w:pPr>
              <w:pStyle w:val="TableText"/>
              <w:spacing w:before="56" w:line="202" w:lineRule="auto"/>
              <w:jc w:val="center"/>
              <w:rPr>
                <w:rFonts w:ascii="楷体" w:eastAsia="楷体" w:hAnsi="楷体" w:cs="楷体" w:hint="eastAsia"/>
                <w:sz w:val="22"/>
                <w:szCs w:val="22"/>
              </w:rPr>
            </w:pPr>
            <w:r>
              <w:rPr>
                <w:rFonts w:ascii="楷体" w:eastAsia="楷体" w:hAnsi="楷体" w:cs="楷体" w:hint="eastAsia"/>
                <w:spacing w:val="-4"/>
                <w:sz w:val="22"/>
                <w:szCs w:val="22"/>
              </w:rPr>
              <w:t xml:space="preserve">100.01%</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二、产品净值与业绩比较基准</w:t>
      </w:r>
    </w:p>
    <w:tbl>
      <w:tblPr>
        <w:tblStyle w:val="TableGrid"/>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510"/>
        <w:gridCol w:w="2100"/>
        <w:gridCol w:w="1470"/>
        <w:gridCol w:w="1665"/>
        <w:gridCol w:w="1876"/>
      </w:tblGrid>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报告日期</w:t>
            </w:r>
          </w:p>
        </w:tc>
        <w:tc>
          <w:tcPr>
            <w:tcW w:w="2100" w:type="dxa"/>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销售</w:t>
            </w:r>
            <w:r>
              <w:rPr>
                <w:rFonts w:ascii="楷体" w:eastAsia="楷体" w:hAnsi="楷体" w:cs="楷体" w:hint="eastAsia"/>
                <w:sz w:val="22"/>
                <w:szCs w:val="22"/>
                <w:lang w:eastAsia="zh-CN"/>
              </w:rPr>
              <w:t xml:space="preserve">名</w:t>
            </w:r>
            <w:r>
              <w:rPr>
                <w:rFonts w:ascii="楷体" w:eastAsia="楷体" w:hAnsi="楷体" w:cs="楷体" w:hint="eastAsia"/>
                <w:sz w:val="22"/>
                <w:szCs w:val="22"/>
              </w:rPr>
              <w:t xml:space="preserve">称</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单位净值</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累计单位净值</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业绩比较基准（年化）</w:t>
            </w:r>
          </w:p>
        </w:tc>
      </w:tr>
      <w:tr>
        <w:tblPrEx>
          <w:tblW w:w="862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51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2025-09-30</w:t>
            </w:r>
          </w:p>
        </w:tc>
        <w:tc>
          <w:tcPr>
            <w:tcW w:w="21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苏银理财恒源封闭三年鑫利18期</w:t>
            </w:r>
          </w:p>
        </w:tc>
        <w:tc>
          <w:tcPr>
            <w:tcW w:w="147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1.003075</w:t>
            </w:r>
          </w:p>
        </w:tc>
        <w:tc>
          <w:tcPr>
            <w:tcW w:w="166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1.026262</w:t>
            </w:r>
          </w:p>
        </w:tc>
        <w:tc>
          <w:tcPr>
            <w:tcW w:w="1876"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2.70%-3.30%</w:t>
            </w:r>
          </w:p>
        </w:tc>
      </w:tr>
    </w:tbl>
    <w:p>
      <w:pPr>
        <w:rPr>
          <w:rFonts w:ascii="楷体" w:eastAsia="楷体" w:hAnsi="楷体" w:cs="楷体" w:hint="eastAsia"/>
        </w:rPr>
      </w:pPr>
    </w:p>
    <w:p>
      <w:pPr>
        <w:rPr>
          <w:rFonts w:ascii="楷体" w:eastAsia="楷体" w:hAnsi="楷体" w:cs="楷体" w:hint="eastAsia"/>
          <w:sz w:val="21"/>
          <w:szCs w:val="21"/>
        </w:rPr>
      </w:pPr>
      <w:r>
        <w:rPr>
          <w:rFonts w:ascii="楷体" w:eastAsia="楷体" w:hAnsi="楷体" w:cs="楷体" w:hint="eastAsia"/>
          <w:bCs/>
          <w:kern w:val="0"/>
          <w:sz w:val="21"/>
          <w:szCs w:val="21"/>
        </w:rPr>
        <w:t xml:space="preserve">业绩比较基准不代表理财产品未来表现，不等于理财产品实际收益，不作为产品收益的业绩保证，投资者的实际收益由产品净值表现决定。管理人参考过往投资经验，依据资产投资收益水平，在产品说明书约定的投资范围和投资比例内，综合考虑收取的费用情况，模拟测算得出业绩比较基准。</w:t>
      </w:r>
    </w:p>
    <w:p>
      <w:pPr>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三、产品投资组合情况</w:t>
      </w:r>
    </w:p>
    <w:p>
      <w:pPr>
        <w:pStyle w:val="Heading3"/>
        <w:rPr>
          <w:rFonts w:ascii="楷体" w:eastAsia="楷体" w:hAnsi="楷体" w:cs="楷体" w:hint="eastAsia"/>
          <w:b w:val="0"/>
          <w:sz w:val="21"/>
        </w:rPr>
      </w:pPr>
      <w:r>
        <w:rPr>
          <w:rFonts w:ascii="楷体" w:eastAsia="楷体" w:hAnsi="楷体" w:cs="楷体" w:hint="eastAsia"/>
          <w:b w:val="0"/>
          <w:sz w:val="21"/>
        </w:rPr>
        <w:t xml:space="preserve">（一）期末理财产品持有资产情况</w:t>
      </w:r>
    </w:p>
    <w:tbl>
      <w:tblPr>
        <w:tblStyle w:val="TableNormal"/>
        <w:tblW w:w="830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727"/>
        <w:gridCol w:w="2287"/>
        <w:gridCol w:w="2644"/>
        <w:gridCol w:w="2642"/>
      </w:tblGrid>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287"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644" w:type="dxa"/>
            <w:vAlign w:val="center"/>
          </w:tcPr>
          <w:p>
            <w:pPr>
              <w:spacing w:line="320" w:lineRule="exact"/>
              <w:rPr>
                <w:rFonts w:ascii="楷体" w:eastAsia="楷体" w:hAnsi="楷体" w:cs="楷体" w:hint="eastAsia"/>
                <w:sz w:val="22"/>
                <w:szCs w:val="22"/>
              </w:rPr>
            </w:pPr>
            <w:r>
              <w:rPr>
                <w:rFonts w:ascii="楷体" w:eastAsia="楷体" w:hAnsi="楷体" w:cs="楷体" w:hint="eastAsia"/>
                <w:sz w:val="22"/>
                <w:szCs w:val="22"/>
              </w:rPr>
              <w:t xml:space="preserve">直接投资占总资产的比例</w:t>
            </w:r>
          </w:p>
        </w:tc>
        <w:tc>
          <w:tcPr>
            <w:tcW w:w="2642"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间接投资占总资产的比例</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72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287"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固定收益类</w:t>
            </w:r>
            <w:bookmarkStart w:id="1" w:name="_GoBack"/>
            <w:bookmarkEnd w:id="1"/>
          </w:p>
        </w:tc>
        <w:tc>
          <w:tcPr>
            <w:tcW w:w="2644"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1.71%</w:t>
            </w:r>
          </w:p>
        </w:tc>
        <w:tc>
          <w:tcPr>
            <w:tcW w:w="2642" w:type="dxa"/>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98.29%</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权益类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商品及金融衍生品类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rPr>
          <w:trHeight w:hRule="exact" w:val="397"/>
          <w:jc w:val="center"/>
        </w:trPr>
        <w:tc>
          <w:tcPr>
            <w:tcW w:w="72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287"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混合类</w:t>
            </w:r>
          </w:p>
        </w:tc>
        <w:tc>
          <w:tcPr>
            <w:tcW w:w="2644"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c>
          <w:tcPr>
            <w:tcW w:w="2642" w:type="dxa"/>
            <w:vAlign w:val="center"/>
          </w:tcPr>
          <w:p>
            <w:pPr>
              <w:pageBreakBefore w:val="0"/>
              <w:jc w:val="center"/>
              <w:textAlignment w:val="auto"/>
            </w:pPr>
            <w:r>
              <w:rPr>
                <w:rFonts w:ascii="楷体" w:eastAsia="楷体" w:hAnsi="楷体" w:cs="楷体"/>
                <w:b w:val="0"/>
                <w:i w:val="0"/>
                <w:strike w:val="0"/>
                <w:color w:val="auto"/>
                <w:position w:val="-1"/>
                <w:sz w:val="22"/>
                <w:u w:val="none"/>
              </w:rPr>
              <w:t xml:space="preserve">-</w:t>
            </w:r>
          </w:p>
        </w:tc>
      </w:tr>
      <w:tr>
        <w:tblPrEx>
          <w:tblW w:w="83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397"/>
          <w:jc w:val="center"/>
        </w:trPr>
        <w:tc>
          <w:tcPr>
            <w:tcW w:w="3014" w:type="dxa"/>
            <w:gridSpan w:val="2"/>
            <w:shd w:val="clear" w:color="auto" w:fill="auto"/>
            <w:vAlign w:val="center"/>
          </w:tcPr>
          <w:p>
            <w:pPr>
              <w:tabs>
                <w:tab w:val="center" w:pos="1522"/>
                <w:tab w:val="right" w:pos="2924"/>
              </w:tabs>
              <w:jc w:val="left"/>
              <w:rPr>
                <w:rFonts w:ascii="楷体" w:eastAsia="楷体" w:hAnsi="楷体" w:cs="楷体" w:hint="eastAsia"/>
                <w:sz w:val="22"/>
                <w:szCs w:val="22"/>
                <w:lang w:eastAsia="zh-CN"/>
              </w:rPr>
            </w:pPr>
            <w:r>
              <w:rPr>
                <w:rFonts w:ascii="楷体" w:eastAsia="楷体" w:hAnsi="楷体" w:cs="楷体" w:hint="eastAsia"/>
                <w:sz w:val="22"/>
                <w:szCs w:val="22"/>
                <w:lang w:eastAsia="zh-CN"/>
              </w:rPr>
              <w:tab/>
            </w:r>
            <w:r>
              <w:rPr>
                <w:rFonts w:ascii="楷体" w:eastAsia="楷体" w:hAnsi="楷体" w:cs="楷体" w:hint="eastAsia"/>
                <w:sz w:val="22"/>
                <w:szCs w:val="22"/>
              </w:rPr>
              <w:t xml:space="preserve">合计</w:t>
            </w:r>
            <w:r>
              <w:rPr>
                <w:rFonts w:ascii="楷体" w:eastAsia="楷体" w:hAnsi="楷体" w:cs="楷体" w:hint="eastAsia"/>
                <w:sz w:val="22"/>
                <w:szCs w:val="22"/>
                <w:lang w:eastAsia="zh-CN"/>
              </w:rPr>
              <w:tab/>
            </w:r>
          </w:p>
        </w:tc>
        <w:tc>
          <w:tcPr>
            <w:tcW w:w="2644" w:type="dxa"/>
            <w:shd w:val="clear" w:color="auto" w:fill="auto"/>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1.71%</w:t>
            </w:r>
          </w:p>
        </w:tc>
        <w:tc>
          <w:tcPr>
            <w:tcW w:w="2642" w:type="dxa"/>
            <w:shd w:val="clear" w:color="auto" w:fill="FFFFFF"/>
            <w:vAlign w:val="center"/>
          </w:tcPr>
          <w:p>
            <w:pPr>
              <w:jc w:val="center"/>
              <w:rPr>
                <w:rFonts w:ascii="楷体" w:eastAsia="楷体" w:hAnsi="楷体" w:cs="楷体" w:hint="eastAsia"/>
                <w:sz w:val="22"/>
                <w:szCs w:val="22"/>
              </w:rPr>
            </w:pPr>
            <w:r>
              <w:rPr>
                <w:rFonts w:ascii="楷体" w:eastAsia="楷体" w:hAnsi="楷体" w:cs="楷体" w:hint="eastAsia"/>
                <w:sz w:val="22"/>
                <w:szCs w:val="22"/>
              </w:rPr>
              <w:t xml:space="preserve">98.29%</w:t>
            </w:r>
          </w:p>
        </w:tc>
      </w:tr>
    </w:tbl>
    <w:p>
      <w:pPr>
        <w:rPr>
          <w:rFonts w:ascii="楷体" w:eastAsia="楷体" w:hAnsi="楷体" w:cs="楷体" w:hint="eastAsia"/>
        </w:rPr>
      </w:pPr>
    </w:p>
    <w:p>
      <w:pPr>
        <w:pStyle w:val="Heading3"/>
        <w:ind w:left="0"/>
        <w:rPr>
          <w:rFonts w:ascii="楷体" w:eastAsia="楷体" w:hAnsi="楷体" w:cs="楷体" w:hint="eastAsia"/>
          <w:b w:val="0"/>
          <w:sz w:val="21"/>
        </w:rPr>
      </w:pPr>
      <w:r>
        <w:rPr>
          <w:rFonts w:ascii="楷体" w:eastAsia="楷体" w:hAnsi="楷体" w:cs="楷体" w:hint="eastAsia"/>
          <w:b w:val="0"/>
          <w:sz w:val="21"/>
        </w:rPr>
        <w:t xml:space="preserve">（二）期末理财产品持有的前十项资产</w:t>
      </w:r>
    </w:p>
    <w:tbl>
      <w:tblPr>
        <w:tblStyle w:val="TableNormal"/>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873"/>
        <w:gridCol w:w="2434"/>
        <w:gridCol w:w="1275"/>
        <w:gridCol w:w="2235"/>
        <w:gridCol w:w="1800"/>
      </w:tblGrid>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序号</w:t>
            </w:r>
          </w:p>
        </w:tc>
        <w:tc>
          <w:tcPr>
            <w:tcW w:w="2434"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资产名称</w:t>
            </w:r>
          </w:p>
        </w:tc>
        <w:tc>
          <w:tcPr>
            <w:tcW w:w="127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资产类别</w:t>
            </w:r>
          </w:p>
        </w:tc>
        <w:tc>
          <w:tcPr>
            <w:tcW w:w="2235"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持有金额（元）</w:t>
            </w:r>
          </w:p>
        </w:tc>
        <w:tc>
          <w:tcPr>
            <w:tcW w:w="1800" w:type="dxa"/>
            <w:vAlign w:val="center"/>
          </w:tcPr>
          <w:p>
            <w:pPr>
              <w:spacing w:line="320" w:lineRule="exact"/>
              <w:jc w:val="center"/>
              <w:rPr>
                <w:rFonts w:ascii="楷体" w:eastAsia="楷体" w:hAnsi="楷体" w:cs="楷体" w:hint="eastAsia"/>
                <w:sz w:val="22"/>
                <w:szCs w:val="22"/>
              </w:rPr>
            </w:pPr>
            <w:r>
              <w:rPr>
                <w:rFonts w:ascii="楷体" w:eastAsia="楷体" w:hAnsi="楷体" w:cs="楷体" w:hint="eastAsia"/>
                <w:sz w:val="22"/>
                <w:szCs w:val="22"/>
              </w:rPr>
              <w:t xml:space="preserve">占产品总资产的比例（%）</w:t>
            </w:r>
          </w:p>
        </w:tc>
      </w:tr>
      <w:tr>
        <w:tblPrEx>
          <w:tblW w:w="861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83"/>
        </w:trPr>
        <w:tc>
          <w:tcPr>
            <w:tcW w:w="873"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1</w:t>
            </w:r>
          </w:p>
        </w:tc>
        <w:tc>
          <w:tcPr>
            <w:tcW w:w="2434"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杭工商信托-玖盈103号-富阳交通-第三期</w:t>
            </w:r>
          </w:p>
        </w:tc>
        <w:tc>
          <w:tcPr>
            <w:tcW w:w="127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非标准化债权类资产</w:t>
            </w:r>
          </w:p>
        </w:tc>
        <w:tc>
          <w:tcPr>
            <w:tcW w:w="2235"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5,998,346.60</w:t>
            </w:r>
          </w:p>
        </w:tc>
        <w:tc>
          <w:tcPr>
            <w:tcW w:w="1800" w:type="dxa"/>
          </w:tcPr>
          <w:p>
            <w:pPr>
              <w:jc w:val="center"/>
              <w:rPr>
                <w:rFonts w:ascii="楷体" w:eastAsia="楷体" w:hAnsi="楷体" w:cs="楷体" w:hint="eastAsia"/>
                <w:sz w:val="22"/>
                <w:szCs w:val="22"/>
              </w:rPr>
            </w:pPr>
            <w:r>
              <w:rPr>
                <w:rFonts w:ascii="楷体" w:eastAsia="楷体" w:hAnsi="楷体" w:cs="楷体" w:hint="eastAsia"/>
                <w:sz w:val="22"/>
                <w:szCs w:val="22"/>
              </w:rPr>
              <w:t xml:space="preserve">47.13%</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2</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现金及银行存款</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480,187.16</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3.77%</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3</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24中信银行CD337</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77,737.10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4</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25建设银行CD006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77,623.48</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0.61%</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5</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25农业银行CD336</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77,005.45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0.60%</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6</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22中国银行二级01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58,945.43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0.46%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7</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24广发Y2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权益类投资</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48,431.33</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0.38%</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8</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25农业银行CD112</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46,405.25</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9</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25农业银行CD131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同业存单</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46,336.60</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0.36%</w:t>
            </w:r>
          </w:p>
        </w:tc>
      </w:tr>
      <w:tr>
        <w:trPr>
          <w:trHeight w:val="283"/>
        </w:trPr>
        <w:tc>
          <w:tcPr>
            <w:tcW w:w="873" w:type="dxa"/>
          </w:tcPr>
          <w:p>
            <w:pPr>
              <w:pageBreakBefore w:val="0"/>
              <w:jc w:val="center"/>
              <w:textAlignment w:val="auto"/>
            </w:pPr>
            <w:r>
              <w:rPr>
                <w:rFonts w:ascii="楷体" w:eastAsia="楷体" w:hAnsi="楷体" w:cs="楷体"/>
                <w:b w:val="0"/>
                <w:i w:val="0"/>
                <w:strike w:val="0"/>
                <w:color w:val="auto"/>
                <w:position w:val="-1"/>
                <w:sz w:val="22"/>
                <w:u w:val="none"/>
              </w:rPr>
              <w:t xml:space="preserve">10</w:t>
            </w:r>
          </w:p>
        </w:tc>
        <w:tc>
          <w:tcPr>
            <w:tcW w:w="2434" w:type="dxa"/>
          </w:tcPr>
          <w:p>
            <w:pPr>
              <w:pageBreakBefore w:val="0"/>
              <w:jc w:val="center"/>
              <w:textAlignment w:val="auto"/>
            </w:pPr>
            <w:r>
              <w:rPr>
                <w:rFonts w:ascii="楷体" w:eastAsia="楷体" w:hAnsi="楷体" w:cs="楷体"/>
                <w:b w:val="0"/>
                <w:i w:val="0"/>
                <w:strike w:val="0"/>
                <w:color w:val="auto"/>
                <w:position w:val="-1"/>
                <w:sz w:val="22"/>
                <w:u w:val="none"/>
              </w:rPr>
              <w:t xml:space="preserve">22交通银行二级01</w:t>
            </w:r>
          </w:p>
        </w:tc>
        <w:tc>
          <w:tcPr>
            <w:tcW w:w="1275" w:type="dxa"/>
          </w:tcPr>
          <w:p>
            <w:pPr>
              <w:pageBreakBefore w:val="0"/>
              <w:jc w:val="center"/>
              <w:textAlignment w:val="auto"/>
            </w:pPr>
            <w:r>
              <w:rPr>
                <w:rFonts w:ascii="楷体" w:eastAsia="楷体" w:hAnsi="楷体" w:cs="楷体"/>
                <w:b w:val="0"/>
                <w:i w:val="0"/>
                <w:strike w:val="0"/>
                <w:color w:val="auto"/>
                <w:position w:val="-1"/>
                <w:sz w:val="22"/>
                <w:u w:val="none"/>
              </w:rPr>
              <w:t xml:space="preserve">债券</w:t>
            </w:r>
          </w:p>
        </w:tc>
        <w:tc>
          <w:tcPr>
            <w:tcW w:w="2235" w:type="dxa"/>
          </w:tcPr>
          <w:p>
            <w:pPr>
              <w:pageBreakBefore w:val="0"/>
              <w:jc w:val="center"/>
              <w:textAlignment w:val="auto"/>
            </w:pPr>
            <w:r>
              <w:rPr>
                <w:rFonts w:ascii="楷体" w:eastAsia="楷体" w:hAnsi="楷体" w:cs="楷体"/>
                <w:b w:val="0"/>
                <w:i w:val="0"/>
                <w:strike w:val="0"/>
                <w:color w:val="auto"/>
                <w:position w:val="-1"/>
                <w:sz w:val="22"/>
                <w:u w:val="none"/>
              </w:rPr>
              <w:t xml:space="preserve">33,429.42</w:t>
            </w:r>
          </w:p>
        </w:tc>
        <w:tc>
          <w:tcPr>
            <w:tcW w:w="1800" w:type="dxa"/>
          </w:tcPr>
          <w:p>
            <w:pPr>
              <w:pageBreakBefore w:val="0"/>
              <w:jc w:val="center"/>
              <w:textAlignment w:val="auto"/>
            </w:pPr>
            <w:r>
              <w:rPr>
                <w:rFonts w:ascii="楷体" w:eastAsia="楷体" w:hAnsi="楷体" w:cs="楷体"/>
                <w:b w:val="0"/>
                <w:i w:val="0"/>
                <w:strike w:val="0"/>
                <w:color w:val="auto"/>
                <w:position w:val="-1"/>
                <w:sz w:val="22"/>
                <w:u w:val="none"/>
              </w:rPr>
              <w:t xml:space="preserve">0.26%</w:t>
            </w:r>
          </w:p>
        </w:tc>
      </w:tr>
    </w:tbl>
    <w:p>
      <w:pPr>
        <w:pStyle w:val="标题4"/>
        <w:rPr>
          <w:rFonts w:ascii="楷体" w:eastAsia="楷体" w:hAnsi="楷体" w:cs="楷体" w:hint="eastAsia"/>
        </w:rPr>
      </w:pPr>
    </w:p>
    <w:p>
      <w:pPr>
        <w:pStyle w:val="Heading3"/>
        <w:numPr>
          <w:ilvl w:val="0"/>
          <w:numId w:val="3"/>
        </w:numPr>
        <w:rPr>
          <w:rFonts w:ascii="楷体" w:eastAsia="楷体" w:hAnsi="楷体" w:cs="楷体" w:hint="eastAsia"/>
          <w:b w:val="0"/>
          <w:sz w:val="21"/>
        </w:rPr>
      </w:pPr>
      <w:r>
        <w:rPr>
          <w:rFonts w:ascii="楷体" w:eastAsia="楷体" w:hAnsi="楷体" w:cs="楷体" w:hint="eastAsia"/>
          <w:b w:val="0"/>
          <w:sz w:val="21"/>
        </w:rPr>
        <w:t xml:space="preserve">非标资产情况</w:t>
      </w:r>
    </w:p>
    <w:p>
      <w:pPr>
        <w:ind w:firstLine="220" w:firstLineChars="100"/>
        <w:rPr>
          <w:rFonts w:ascii="楷体" w:eastAsia="楷体" w:hAnsi="楷体" w:cs="楷体" w:hint="eastAsia"/>
        </w:rPr>
      </w:pPr>
      <w:r>
        <w:rPr>
          <w:rFonts w:ascii="楷体" w:eastAsia="楷体" w:hAnsi="楷体" w:cs="楷体" w:hint="eastAsia"/>
          <w:sz w:val="22"/>
          <w:szCs w:val="24"/>
        </w:rPr>
        <w:t xml:space="preserve">1</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非标资产投资情况</w:t>
      </w:r>
    </w:p>
    <w:tbl>
      <w:tblPr>
        <w:tblStyle w:val="TableNormal"/>
        <w:tblW w:w="8811" w:type="dxa"/>
        <w:tblInd w:w="0" w:type="dxa"/>
        <w:tblLayout w:type="fixed"/>
        <w:tblCellMar>
          <w:top w:w="0" w:type="dxa"/>
          <w:left w:w="108" w:type="dxa"/>
          <w:bottom w:w="0" w:type="dxa"/>
          <w:right w:w="108" w:type="dxa"/>
        </w:tblCellMar>
        <w:tblLook w:firstRow="0" w:lastRow="0" w:firstColumn="0" w:lastColumn="0" w:noHBand="1" w:noVBand="1"/>
      </w:tblPr>
      <w:tblGrid>
        <w:gridCol w:w="1401"/>
        <w:gridCol w:w="1410"/>
        <w:gridCol w:w="1245"/>
        <w:gridCol w:w="1485"/>
        <w:gridCol w:w="1335"/>
        <w:gridCol w:w="1080"/>
        <w:gridCol w:w="855"/>
      </w:tblGrid>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41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项目名称</w:t>
            </w:r>
          </w:p>
        </w:tc>
        <w:tc>
          <w:tcPr>
            <w:tcW w:w="124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剩余融资期限（天）</w:t>
            </w:r>
          </w:p>
        </w:tc>
        <w:tc>
          <w:tcPr>
            <w:tcW w:w="148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资产面值</w:t>
            </w:r>
          </w:p>
        </w:tc>
        <w:tc>
          <w:tcPr>
            <w:tcW w:w="133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到期分配方式</w:t>
            </w:r>
          </w:p>
        </w:tc>
        <w:tc>
          <w:tcPr>
            <w:tcW w:w="1080"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交易结构</w:t>
            </w:r>
          </w:p>
        </w:tc>
        <w:tc>
          <w:tcPr>
            <w:tcW w:w="855" w:type="dxa"/>
            <w:tcBorders>
              <w:top w:val="single" w:sz="4" w:space="0" w:color="auto"/>
              <w:left w:val="nil"/>
              <w:bottom w:val="single" w:sz="4" w:space="0" w:color="auto"/>
              <w:right w:val="single" w:sz="4" w:space="0" w:color="auto"/>
            </w:tcBorders>
            <w:vAlign w:val="center"/>
          </w:tcPr>
          <w:p>
            <w:pPr>
              <w:spacing w:line="320" w:lineRule="exact"/>
              <w:jc w:val="center"/>
              <w:rPr>
                <w:rFonts w:ascii="楷体" w:eastAsia="楷体" w:hAnsi="楷体" w:cs="楷体" w:hint="eastAsia"/>
                <w:sz w:val="24"/>
                <w:szCs w:val="24"/>
              </w:rPr>
            </w:pPr>
            <w:r>
              <w:rPr>
                <w:rFonts w:ascii="楷体" w:eastAsia="楷体" w:hAnsi="楷体" w:cs="楷体" w:hint="eastAsia"/>
                <w:sz w:val="24"/>
                <w:szCs w:val="24"/>
              </w:rPr>
              <w:t xml:space="preserve">风险状况</w:t>
            </w:r>
          </w:p>
        </w:tc>
      </w:tr>
      <w:tr>
        <w:tblPrEx>
          <w:tblW w:w="8811" w:type="dxa"/>
          <w:tblInd w:w="0" w:type="dxa"/>
          <w:tblLayout w:type="fixed"/>
          <w:tblCellMar>
            <w:top w:w="0" w:type="dxa"/>
            <w:left w:w="108" w:type="dxa"/>
            <w:bottom w:w="0" w:type="dxa"/>
            <w:right w:w="108" w:type="dxa"/>
          </w:tblCellMar>
        </w:tblPrEx>
        <w:trPr>
          <w:trHeight w:val="270"/>
        </w:trPr>
        <w:tc>
          <w:tcPr>
            <w:tcW w:w="1401"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杭州富阳交通发展投资集团有限公司</w:t>
            </w:r>
          </w:p>
        </w:tc>
        <w:tc>
          <w:tcPr>
            <w:tcW w:w="141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杭工商信托-玖盈103号-富阳交通-第三期</w:t>
            </w:r>
          </w:p>
        </w:tc>
        <w:tc>
          <w:tcPr>
            <w:tcW w:w="124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724</w:t>
            </w:r>
          </w:p>
        </w:tc>
        <w:tc>
          <w:tcPr>
            <w:tcW w:w="148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highlight w:val="yellow"/>
              </w:rPr>
            </w:pPr>
            <w:r>
              <w:rPr>
                <w:rFonts w:ascii="楷体" w:eastAsia="楷体" w:hAnsi="楷体" w:cs="楷体" w:hint="eastAsia"/>
                <w:sz w:val="22"/>
              </w:rPr>
              <w:t xml:space="preserve">6,000,000.00</w:t>
            </w:r>
          </w:p>
        </w:tc>
        <w:tc>
          <w:tcPr>
            <w:tcW w:w="133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按季付息到期一次还本</w:t>
            </w:r>
          </w:p>
        </w:tc>
        <w:tc>
          <w:tcPr>
            <w:tcW w:w="1080"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投资信托计划产品</w:t>
            </w:r>
          </w:p>
        </w:tc>
        <w:tc>
          <w:tcPr>
            <w:tcW w:w="855" w:type="dxa"/>
            <w:tcBorders>
              <w:top w:val="single" w:sz="4" w:space="0" w:color="auto"/>
              <w:left w:val="nil"/>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正常</w:t>
            </w:r>
          </w:p>
        </w:tc>
      </w:tr>
    </w:tbl>
    <w:p>
      <w:pPr>
        <w:pStyle w:val="标题4"/>
        <w:rPr>
          <w:rFonts w:ascii="楷体" w:eastAsia="楷体" w:hAnsi="楷体" w:cs="楷体" w:hint="eastAsia"/>
        </w:rPr>
      </w:pPr>
    </w:p>
    <w:p>
      <w:pPr>
        <w:spacing w:line="320" w:lineRule="exact"/>
        <w:ind w:firstLine="220" w:firstLineChars="100"/>
        <w:rPr>
          <w:rFonts w:ascii="楷体" w:eastAsia="楷体" w:hAnsi="楷体" w:cs="楷体" w:hint="eastAsia"/>
        </w:rPr>
      </w:pPr>
      <w:r>
        <w:rPr>
          <w:rFonts w:ascii="楷体" w:eastAsia="楷体" w:hAnsi="楷体" w:cs="楷体" w:hint="eastAsia"/>
          <w:sz w:val="22"/>
          <w:szCs w:val="24"/>
        </w:rPr>
        <w:t xml:space="preserve">2</w:t>
      </w:r>
      <w:r>
        <w:rPr>
          <w:rFonts w:ascii="楷体" w:eastAsia="楷体" w:hAnsi="楷体" w:cs="楷体" w:hint="eastAsia"/>
          <w:sz w:val="22"/>
          <w:szCs w:val="24"/>
          <w:lang w:eastAsia="zh-CN"/>
        </w:rPr>
        <w:t xml:space="preserve">、</w:t>
      </w:r>
      <w:r>
        <w:rPr>
          <w:rFonts w:ascii="楷体" w:eastAsia="楷体" w:hAnsi="楷体" w:cs="楷体" w:hint="eastAsia"/>
          <w:sz w:val="22"/>
          <w:szCs w:val="24"/>
        </w:rPr>
        <w:t xml:space="preserve">融资客户情况</w:t>
      </w:r>
    </w:p>
    <w:tbl>
      <w:tblPr>
        <w:tblStyle w:val="TableGrid"/>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firstRow="0" w:lastRow="0" w:firstColumn="0" w:lastColumn="0" w:noHBand="1" w:noVBand="1"/>
      </w:tblPr>
      <w:tblGrid>
        <w:gridCol w:w="1412"/>
        <w:gridCol w:w="1399"/>
        <w:gridCol w:w="1263"/>
        <w:gridCol w:w="4746"/>
      </w:tblGrid>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9"/>
        </w:trPr>
        <w:tc>
          <w:tcPr>
            <w:tcW w:w="1412"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融资客户</w:t>
            </w:r>
          </w:p>
        </w:tc>
        <w:tc>
          <w:tcPr>
            <w:tcW w:w="1399"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成立日期</w:t>
            </w:r>
          </w:p>
        </w:tc>
        <w:tc>
          <w:tcPr>
            <w:tcW w:w="1263"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注册资本（元）</w:t>
            </w:r>
          </w:p>
        </w:tc>
        <w:tc>
          <w:tcPr>
            <w:tcW w:w="4746" w:type="dxa"/>
            <w:tcBorders>
              <w:top w:val="single" w:sz="4" w:space="0" w:color="auto"/>
              <w:left w:val="single" w:sz="4" w:space="0" w:color="auto"/>
              <w:bottom w:val="single" w:sz="4" w:space="0" w:color="auto"/>
              <w:right w:val="single" w:sz="4" w:space="0" w:color="auto"/>
            </w:tcBorders>
          </w:tcPr>
          <w:p>
            <w:pPr>
              <w:pStyle w:val="标题4"/>
              <w:jc w:val="center"/>
              <w:rPr>
                <w:rFonts w:ascii="楷体" w:eastAsia="楷体" w:hAnsi="楷体" w:cs="楷体" w:hint="eastAsia"/>
                <w:sz w:val="24"/>
                <w:szCs w:val="24"/>
              </w:rPr>
            </w:pPr>
            <w:r>
              <w:rPr>
                <w:rFonts w:ascii="楷体" w:eastAsia="楷体" w:hAnsi="楷体" w:cs="楷体" w:hint="eastAsia"/>
                <w:sz w:val="24"/>
                <w:szCs w:val="24"/>
              </w:rPr>
              <w:t xml:space="preserve">经营范围</w:t>
            </w:r>
          </w:p>
        </w:tc>
      </w:tr>
      <w:tr>
        <w:tblPrEx>
          <w:tblW w:w="88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c>
          <w:tcPr>
            <w:tcW w:w="1412"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杭州富阳交通发展投资集团有限公司</w:t>
            </w:r>
          </w:p>
        </w:tc>
        <w:tc>
          <w:tcPr>
            <w:tcW w:w="1399"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2007-12-14</w:t>
            </w:r>
          </w:p>
        </w:tc>
        <w:tc>
          <w:tcPr>
            <w:tcW w:w="1263"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1,000,000,000.00</w:t>
            </w:r>
          </w:p>
        </w:tc>
        <w:tc>
          <w:tcPr>
            <w:tcW w:w="4746" w:type="dxa"/>
            <w:tcBorders>
              <w:top w:val="single" w:sz="4" w:space="0" w:color="auto"/>
              <w:left w:val="single" w:sz="4" w:space="0" w:color="auto"/>
              <w:bottom w:val="single" w:sz="4" w:space="0" w:color="auto"/>
              <w:right w:val="single" w:sz="4" w:space="0" w:color="auto"/>
            </w:tcBorders>
          </w:tcPr>
          <w:p>
            <w:pPr>
              <w:jc w:val="center"/>
              <w:rPr>
                <w:rFonts w:ascii="楷体" w:eastAsia="楷体" w:hAnsi="楷体" w:cs="楷体" w:hint="eastAsia"/>
                <w:sz w:val="22"/>
                <w:szCs w:val="24"/>
              </w:rPr>
            </w:pPr>
            <w:r>
              <w:rPr>
                <w:rFonts w:ascii="楷体" w:eastAsia="楷体" w:hAnsi="楷体" w:cs="楷体" w:hint="eastAsia"/>
                <w:sz w:val="22"/>
              </w:rPr>
              <w:t xml:space="preserve">一般项目：股权投资；土地整治服务；物业管理；城市绿化管理；工程管理服务；新材料技术推广服务；园区管理服务；有色金属合金销售；建筑材料销售；新能源汽车整车销售；交通设施维修；房屋拆迁服务；汽车销售(除依法须经批准的项目外，凭营业执照依法自主开展经营活动)。许可项目：建设工程施工；城市公共交通；公路管理与养护；道路旅客运输站经营；港口经营；房地产开发经营(依法须经批准的项目，经相关部门批准后方可开展经营活动，具体经营项目以审批结果为准)。</w:t>
            </w:r>
          </w:p>
        </w:tc>
      </w:tr>
    </w:tbl>
    <w:p>
      <w:pPr>
        <w:pStyle w:val="标题4"/>
        <w:rPr>
          <w:rFonts w:ascii="楷体" w:eastAsia="楷体" w:hAnsi="楷体" w:cs="楷体" w:hint="eastAsia"/>
        </w:rPr>
      </w:pPr>
    </w:p>
    <w:p>
      <w:pPr>
        <w:pStyle w:val="Heading3"/>
        <w:numPr>
          <w:ilvl w:val="0"/>
          <w:numId w:val="3"/>
        </w:numPr>
        <w:ind w:left="120" w:firstLine="0" w:leftChars="0" w:firstLineChars="0"/>
        <w:rPr>
          <w:rFonts w:ascii="楷体" w:eastAsia="楷体" w:hAnsi="楷体" w:cs="楷体" w:hint="eastAsia"/>
          <w:b w:val="0"/>
          <w:sz w:val="21"/>
        </w:rPr>
      </w:pPr>
      <w:r>
        <w:rPr>
          <w:rFonts w:ascii="楷体" w:eastAsia="楷体" w:hAnsi="楷体" w:cs="楷体" w:hint="eastAsia"/>
          <w:b w:val="0"/>
          <w:sz w:val="21"/>
        </w:rPr>
        <w:t xml:space="preserve">关联交易情况</w:t>
      </w:r>
    </w:p>
    <w:p>
      <w:pPr>
        <w:spacing w:line="320" w:lineRule="exact"/>
        <w:ind w:firstLine="220" w:firstLineChars="100"/>
        <w:rPr>
          <w:rFonts w:hint="eastAsia"/>
          <w:highlight w:val="none"/>
        </w:rPr>
      </w:pPr>
      <w:r>
        <w:rPr>
          <w:rFonts w:ascii="楷体" w:eastAsia="楷体" w:hAnsi="楷体" w:cs="楷体" w:hint="eastAsia"/>
          <w:sz w:val="22"/>
          <w:szCs w:val="24"/>
          <w:highlight w:val="none"/>
          <w:lang w:val="en-US" w:eastAsia="zh-CN"/>
        </w:rPr>
        <w:t xml:space="preserve">1、理财产品关联交易</w:t>
      </w:r>
    </w:p>
    <w:p>
      <w:pPr>
        <w:spacing w:line="320" w:lineRule="exact"/>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1）报告期内投资于关联方发行的证券或其他金融工具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65"/>
        <w:gridCol w:w="1440"/>
        <w:gridCol w:w="1425"/>
        <w:gridCol w:w="2115"/>
        <w:gridCol w:w="2176"/>
      </w:tblGrid>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6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1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ind w:firstLine="220" w:firstLineChars="100"/>
        <w:rPr>
          <w:rFonts w:ascii="楷体" w:eastAsia="楷体" w:hAnsi="楷体" w:cs="楷体" w:hint="eastAsia"/>
        </w:rPr>
      </w:pPr>
      <w:r>
        <w:rPr>
          <w:rFonts w:ascii="楷体" w:eastAsia="楷体" w:hAnsi="楷体" w:cs="楷体" w:hint="eastAsia"/>
          <w:sz w:val="22"/>
          <w:szCs w:val="24"/>
        </w:rPr>
        <w:t xml:space="preserve">2）报告期内投资于关联方承销的证券或其他金融工具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425"/>
        <w:gridCol w:w="2085"/>
        <w:gridCol w:w="2191"/>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证券代码</w:t>
            </w:r>
          </w:p>
        </w:tc>
        <w:tc>
          <w:tcPr>
            <w:tcW w:w="142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证券简称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报告期投资的证券数量（张）</w:t>
            </w:r>
          </w:p>
        </w:tc>
        <w:tc>
          <w:tcPr>
            <w:tcW w:w="219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9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报告期内投资于关联方管理的资管产品或其他金融工具</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480"/>
        <w:gridCol w:w="1440"/>
        <w:gridCol w:w="1395"/>
        <w:gridCol w:w="2130"/>
        <w:gridCol w:w="2176"/>
      </w:tblGrid>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金融工具代码</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金融工具名称</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报告期投资的证券数量</w:t>
            </w:r>
          </w:p>
        </w:tc>
        <w:tc>
          <w:tcPr>
            <w:tcW w:w="217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报告期投资的证券金额（元）</w:t>
            </w:r>
          </w:p>
        </w:tc>
      </w:tr>
      <w:tr>
        <w:tblPrEx>
          <w:tblW w:w="8621" w:type="dxa"/>
          <w:tblInd w:w="0" w:type="dxa"/>
          <w:tblLayout w:type="fixed"/>
          <w:tblCellMar>
            <w:top w:w="0" w:type="dxa"/>
            <w:left w:w="108" w:type="dxa"/>
            <w:bottom w:w="0" w:type="dxa"/>
            <w:right w:w="108" w:type="dxa"/>
          </w:tblCellMar>
        </w:tblPrEx>
        <w:trPr>
          <w:trHeight w:val="283"/>
        </w:trPr>
        <w:tc>
          <w:tcPr>
            <w:tcW w:w="148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217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rPr>
          <w:rFonts w:ascii="楷体" w:eastAsia="楷体" w:hAnsi="楷体" w:cs="楷体" w:hint="eastAsia"/>
          <w:sz w:val="22"/>
          <w:szCs w:val="24"/>
        </w:rPr>
      </w:pPr>
    </w:p>
    <w:p>
      <w:pPr>
        <w:numPr>
          <w:ilvl w:val="0"/>
          <w:numId w:val="4"/>
        </w:numPr>
        <w:ind w:firstLine="220" w:firstLineChars="100"/>
        <w:rPr>
          <w:rFonts w:ascii="楷体" w:eastAsia="楷体" w:hAnsi="楷体" w:cs="楷体" w:hint="eastAsia"/>
          <w:sz w:val="22"/>
          <w:szCs w:val="24"/>
        </w:rPr>
      </w:pPr>
      <w:r>
        <w:rPr>
          <w:rFonts w:ascii="楷体" w:eastAsia="楷体" w:hAnsi="楷体" w:cs="楷体" w:hint="eastAsia"/>
          <w:sz w:val="22"/>
          <w:szCs w:val="24"/>
        </w:rPr>
        <w:t xml:space="preserve">报告期内的其他关联交易</w:t>
      </w:r>
    </w:p>
    <w:tbl>
      <w:tblPr>
        <w:tblStyle w:val="TableNormal"/>
        <w:tblW w:w="8621" w:type="dxa"/>
        <w:tblInd w:w="0" w:type="dxa"/>
        <w:tblLayout w:type="fixed"/>
        <w:tblCellMar>
          <w:top w:w="0" w:type="dxa"/>
          <w:left w:w="108" w:type="dxa"/>
          <w:bottom w:w="0" w:type="dxa"/>
          <w:right w:w="108" w:type="dxa"/>
        </w:tblCellMar>
        <w:tblLook w:firstRow="0" w:lastRow="0" w:firstColumn="0" w:lastColumn="0" w:noHBand="1" w:noVBand="1"/>
      </w:tblPr>
      <w:tblGrid>
        <w:gridCol w:w="1930"/>
        <w:gridCol w:w="3540"/>
        <w:gridCol w:w="3151"/>
      </w:tblGrid>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交易类型</w:t>
            </w:r>
          </w:p>
        </w:tc>
        <w:tc>
          <w:tcPr>
            <w:tcW w:w="3540"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关联方名称</w:t>
            </w:r>
          </w:p>
        </w:tc>
        <w:tc>
          <w:tcPr>
            <w:tcW w:w="3151"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关联交易金额（元）</w:t>
            </w:r>
          </w:p>
        </w:tc>
      </w:tr>
      <w:tr>
        <w:tblPrEx>
          <w:tblW w:w="8621" w:type="dxa"/>
          <w:tblInd w:w="0" w:type="dxa"/>
          <w:tblLayout w:type="fixed"/>
          <w:tblCellMar>
            <w:top w:w="0" w:type="dxa"/>
            <w:left w:w="108" w:type="dxa"/>
            <w:bottom w:w="0" w:type="dxa"/>
            <w:right w:w="108" w:type="dxa"/>
          </w:tblCellMar>
        </w:tblPrEx>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托管费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630.82</w:t>
            </w:r>
          </w:p>
        </w:tc>
      </w:tr>
      <w:tr>
        <w:trPr>
          <w:trHeight w:val="283"/>
        </w:trPr>
        <w:tc>
          <w:tcPr>
            <w:tcW w:w="193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代销费</w:t>
            </w:r>
          </w:p>
        </w:tc>
        <w:tc>
          <w:tcPr>
            <w:tcW w:w="3540"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江苏银行股份有限公司</w:t>
            </w:r>
          </w:p>
        </w:tc>
        <w:tc>
          <w:tcPr>
            <w:tcW w:w="3151" w:type="dxa"/>
            <w:tcBorders>
              <w:top w:val="single" w:sz="4" w:space="0" w:color="000000"/>
              <w:left w:val="single" w:sz="4" w:space="0" w:color="000000"/>
              <w:bottom w:val="single" w:sz="4" w:space="0" w:color="000000"/>
              <w:right w:val="single" w:sz="4" w:space="0" w:color="000000"/>
            </w:tcBorders>
            <w:shd w:val="clear" w:color="auto" w:fill="auto"/>
          </w:tcPr>
          <w:p>
            <w:pPr>
              <w:pageBreakBefore w:val="0"/>
              <w:jc w:val="center"/>
              <w:textAlignment w:val="auto"/>
            </w:pPr>
            <w:r>
              <w:rPr>
                <w:rFonts w:ascii="楷体" w:eastAsia="楷体" w:hAnsi="楷体" w:cs="楷体"/>
                <w:b w:val="0"/>
                <w:i w:val="0"/>
                <w:strike w:val="0"/>
                <w:color w:val="auto"/>
                <w:position w:val="-1"/>
                <w:sz w:val="22"/>
                <w:u w:val="none"/>
              </w:rPr>
              <w:t xml:space="preserve">2,460.98</w:t>
            </w:r>
          </w:p>
        </w:tc>
      </w:tr>
    </w:tbl>
    <w:p>
      <w:pPr>
        <w:pStyle w:val="标题4"/>
        <w:rPr>
          <w:rFonts w:ascii="楷体" w:eastAsia="楷体" w:hAnsi="楷体" w:cs="楷体" w:hint="eastAsia"/>
          <w:sz w:val="21"/>
          <w:szCs w:val="21"/>
        </w:rPr>
      </w:pPr>
      <w:r>
        <w:rPr>
          <w:rFonts w:ascii="楷体" w:eastAsia="楷体" w:hAnsi="楷体" w:cs="楷体" w:hint="eastAsia"/>
          <w:sz w:val="21"/>
          <w:szCs w:val="21"/>
        </w:rPr>
        <w:t xml:space="preserve">注：本报告中理财产品托管费、代销费均基于产品实际支付金额进行统计。</w:t>
      </w: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p>
    <w:p>
      <w:pPr>
        <w:bidi w:val="0"/>
        <w:spacing w:line="320" w:lineRule="exact"/>
        <w:ind w:firstLine="220" w:firstLineChars="100"/>
        <w:jc w:val="left"/>
        <w:rPr>
          <w:rFonts w:ascii="楷体" w:eastAsia="楷体" w:hAnsi="楷体" w:cs="楷体" w:hint="eastAsia"/>
          <w:color w:val="auto"/>
          <w:sz w:val="22"/>
          <w:szCs w:val="24"/>
          <w:highlight w:val="none"/>
          <w:lang w:val="en-US" w:eastAsia="zh-CN"/>
        </w:rPr>
      </w:pPr>
      <w:r>
        <w:rPr>
          <w:rFonts w:ascii="楷体" w:eastAsia="楷体" w:hAnsi="楷体" w:cs="楷体" w:hint="eastAsia"/>
          <w:color w:val="auto"/>
          <w:sz w:val="22"/>
          <w:szCs w:val="24"/>
          <w:highlight w:val="none"/>
          <w:lang w:val="en-US" w:eastAsia="zh-CN"/>
        </w:rPr>
        <w:t xml:space="preserve">2、关联方申购理财产品</w:t>
      </w:r>
    </w:p>
    <w:p>
      <w:pPr>
        <w:bidi w:val="0"/>
        <w:ind w:firstLine="440" w:firstLineChars="200"/>
        <w:jc w:val="both"/>
        <w:rPr>
          <w:highlight w:val="none"/>
        </w:rPr>
      </w:pPr>
      <w:r>
        <w:rPr>
          <w:rFonts w:ascii="楷体" w:eastAsia="楷体" w:hAnsi="楷体" w:cs="楷体" w:hint="eastAsia"/>
          <w:color w:val="auto"/>
          <w:kern w:val="2"/>
          <w:sz w:val="22"/>
          <w:szCs w:val="22"/>
          <w:highlight w:val="none"/>
          <w:lang w:val="en-US" w:eastAsia="zh-CN" w:bidi="ar-SA"/>
        </w:rPr>
        <w:t xml:space="preserve">报告期内，除本公司以外的关联方累计申购本产品</w:t>
      </w:r>
      <w:r>
        <w:rPr>
          <w:rFonts w:ascii="楷体" w:eastAsia="楷体" w:hAnsi="楷体" w:cs="楷体" w:hint="eastAsia"/>
          <w:sz w:val="22"/>
          <w:szCs w:val="22"/>
        </w:rPr>
        <w:t xml:space="preserve">0.00</w:t>
      </w:r>
      <w:r>
        <w:rPr>
          <w:rFonts w:ascii="楷体" w:eastAsia="楷体" w:hAnsi="楷体" w:cs="楷体" w:hint="eastAsia"/>
          <w:color w:val="auto"/>
          <w:kern w:val="2"/>
          <w:sz w:val="22"/>
          <w:szCs w:val="22"/>
          <w:highlight w:val="none"/>
          <w:lang w:val="en-US" w:eastAsia="zh-CN" w:bidi="ar-SA"/>
        </w:rPr>
        <w:t xml:space="preserve">元。</w:t>
      </w:r>
    </w:p>
    <w:p>
      <w:pPr>
        <w:pStyle w:val="标题4"/>
        <w:rPr>
          <w:rFonts w:ascii="楷体" w:eastAsia="楷体" w:hAnsi="楷体" w:cs="楷体" w:hint="eastAsia"/>
        </w:rPr>
      </w:pPr>
    </w:p>
    <w:p>
      <w:pPr>
        <w:rPr>
          <w:rFonts w:ascii="楷体" w:eastAsia="楷体" w:hAnsi="楷体" w:cs="楷体" w:hint="eastAsia"/>
          <w:sz w:val="22"/>
          <w:szCs w:val="24"/>
        </w:rPr>
      </w:pPr>
      <w:r>
        <w:rPr>
          <w:rFonts w:ascii="楷体" w:eastAsia="楷体" w:hAnsi="楷体" w:cs="楷体" w:hint="eastAsia"/>
          <w:sz w:val="22"/>
          <w:szCs w:val="24"/>
        </w:rPr>
        <w:t xml:space="preserve">（五）自有资金投资情况</w:t>
      </w:r>
    </w:p>
    <w:tbl>
      <w:tblPr>
        <w:tblStyle w:val="TableNormal"/>
        <w:tblW w:w="7299" w:type="dxa"/>
        <w:tblInd w:w="0" w:type="dxa"/>
        <w:tblLayout w:type="fixed"/>
        <w:tblCellMar>
          <w:top w:w="0" w:type="dxa"/>
          <w:left w:w="108" w:type="dxa"/>
          <w:bottom w:w="0" w:type="dxa"/>
          <w:right w:w="108" w:type="dxa"/>
        </w:tblCellMar>
        <w:tblLook w:firstRow="0" w:lastRow="0" w:firstColumn="0" w:lastColumn="0" w:noHBand="1" w:noVBand="1"/>
      </w:tblPr>
      <w:tblGrid>
        <w:gridCol w:w="2796"/>
        <w:gridCol w:w="4503"/>
      </w:tblGrid>
      <w:tr>
        <w:tblPrEx>
          <w:tblW w:w="7299" w:type="dxa"/>
          <w:tblInd w:w="0" w:type="dxa"/>
          <w:tblLayout w:type="fixed"/>
          <w:tblCellMar>
            <w:top w:w="0" w:type="dxa"/>
            <w:left w:w="108" w:type="dxa"/>
            <w:bottom w:w="0" w:type="dxa"/>
            <w:right w:w="108" w:type="dxa"/>
          </w:tblCellMar>
        </w:tblPrEx>
        <w:trPr>
          <w:trHeight w:val="311"/>
        </w:trPr>
        <w:tc>
          <w:tcPr>
            <w:tcW w:w="2796"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产品名称</w:t>
            </w:r>
          </w:p>
        </w:tc>
        <w:tc>
          <w:tcPr>
            <w:tcW w:w="4503" w:type="dxa"/>
            <w:tcBorders>
              <w:top w:val="single" w:sz="4" w:space="0" w:color="000000"/>
              <w:left w:val="single" w:sz="4" w:space="0" w:color="000000"/>
              <w:bottom w:val="single" w:sz="4" w:space="0" w:color="000000"/>
              <w:right w:val="single" w:sz="4" w:space="0" w:color="000000"/>
            </w:tcBorders>
            <w:shd w:val="clear" w:color="auto" w:fill="auto"/>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299" w:type="dxa"/>
          <w:tblInd w:w="0" w:type="dxa"/>
          <w:tblLayout w:type="fixed"/>
          <w:tblCellMar>
            <w:top w:w="0" w:type="dxa"/>
            <w:left w:w="108" w:type="dxa"/>
            <w:bottom w:w="0" w:type="dxa"/>
            <w:right w:w="108" w:type="dxa"/>
          </w:tblCellMar>
        </w:tblPrEx>
        <w:trPr>
          <w:trHeight w:val="378"/>
        </w:trPr>
        <w:tc>
          <w:tcPr>
            <w:tcW w:w="2796"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c>
          <w:tcPr>
            <w:tcW w:w="4503" w:type="dxa"/>
            <w:tcBorders>
              <w:top w:val="single" w:sz="4" w:space="0" w:color="000000"/>
              <w:left w:val="single" w:sz="4" w:space="0" w:color="000000"/>
              <w:bottom w:val="single" w:sz="4" w:space="0" w:color="000000"/>
              <w:right w:val="single" w:sz="4" w:space="0" w:color="000000"/>
            </w:tcBorders>
            <w:shd w:val="clear" w:color="auto" w:fill="auto"/>
          </w:tcPr>
          <w:p>
            <w:pPr>
              <w:jc w:val="center"/>
              <w:rPr>
                <w:rFonts w:ascii="楷体" w:eastAsia="楷体" w:hAnsi="楷体" w:cs="楷体" w:hint="eastAsia"/>
                <w:sz w:val="22"/>
              </w:rPr>
            </w:pPr>
            <w:r>
              <w:rPr>
                <w:rFonts w:ascii="楷体" w:eastAsia="楷体" w:hAnsi="楷体" w:cs="楷体" w:hint="eastAsia"/>
                <w:sz w:val="22"/>
              </w:rPr>
              <w:t xml:space="preserve">-</w:t>
            </w:r>
          </w:p>
        </w:tc>
      </w:tr>
    </w:tbl>
    <w:p>
      <w:pPr>
        <w:ind w:firstLine="420" w:firstLineChars="200"/>
        <w:rPr>
          <w:rFonts w:ascii="楷体" w:eastAsia="楷体" w:hAnsi="楷体" w:cs="楷体" w:hint="eastAsia"/>
          <w:bCs/>
          <w:kern w:val="0"/>
          <w:sz w:val="21"/>
          <w:szCs w:val="21"/>
        </w:rPr>
      </w:pPr>
      <w:r>
        <w:rPr>
          <w:rFonts w:ascii="楷体" w:eastAsia="楷体" w:hAnsi="楷体" w:cs="楷体" w:hint="eastAsia"/>
          <w:bCs/>
          <w:kern w:val="0"/>
          <w:sz w:val="21"/>
          <w:szCs w:val="21"/>
        </w:rPr>
        <w:t xml:space="preserve">本公司自有资金投资本公司管理的理财产品适用的费率均不优于其他投资者。</w:t>
      </w:r>
    </w:p>
    <w:p>
      <w:pPr>
        <w:ind w:firstLine="420" w:firstLineChars="200"/>
        <w:rPr>
          <w:rFonts w:ascii="楷体" w:eastAsia="楷体" w:hAnsi="楷体" w:cs="楷体" w:hint="eastAsia"/>
          <w:bCs/>
          <w:kern w:val="0"/>
          <w:szCs w:val="21"/>
        </w:rPr>
      </w:pPr>
    </w:p>
    <w:p>
      <w:pPr>
        <w:rPr>
          <w:rFonts w:ascii="楷体" w:eastAsia="楷体" w:hAnsi="楷体" w:cs="楷体" w:hint="eastAsia"/>
          <w:sz w:val="22"/>
          <w:szCs w:val="24"/>
        </w:rPr>
      </w:pPr>
      <w:r>
        <w:rPr>
          <w:rFonts w:ascii="楷体" w:eastAsia="楷体" w:hAnsi="楷体" w:cs="楷体" w:hint="eastAsia"/>
          <w:sz w:val="22"/>
          <w:szCs w:val="24"/>
        </w:rPr>
        <w:t xml:space="preserve">（六）理财产品份额变动情况</w:t>
      </w:r>
    </w:p>
    <w:tbl>
      <w:tblPr>
        <w:tblStyle w:val="TableNormal"/>
        <w:tblW w:w="7305" w:type="dxa"/>
        <w:tblInd w:w="0" w:type="dxa"/>
        <w:tblLayout w:type="fixed"/>
        <w:tblCellMar>
          <w:top w:w="0" w:type="dxa"/>
          <w:left w:w="108" w:type="dxa"/>
          <w:bottom w:w="0" w:type="dxa"/>
          <w:right w:w="108" w:type="dxa"/>
        </w:tblCellMar>
        <w:tblLook w:firstRow="0" w:lastRow="0" w:firstColumn="0" w:lastColumn="0" w:noHBand="1" w:noVBand="1"/>
      </w:tblPr>
      <w:tblGrid>
        <w:gridCol w:w="2798"/>
        <w:gridCol w:w="4507"/>
      </w:tblGrid>
      <w:tr>
        <w:tblPrEx>
          <w:tblW w:w="7305" w:type="dxa"/>
          <w:tblInd w:w="0" w:type="dxa"/>
          <w:tblLayout w:type="fixed"/>
          <w:tblCellMar>
            <w:top w:w="0" w:type="dxa"/>
            <w:left w:w="108" w:type="dxa"/>
            <w:bottom w:w="0" w:type="dxa"/>
            <w:right w:w="108" w:type="dxa"/>
          </w:tblCellMar>
        </w:tblPrEx>
        <w:trPr>
          <w:trHeight w:val="311"/>
        </w:trPr>
        <w:tc>
          <w:tcPr>
            <w:tcW w:w="2798"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日期</w:t>
            </w:r>
          </w:p>
        </w:tc>
        <w:tc>
          <w:tcPr>
            <w:tcW w:w="4507" w:type="dxa"/>
            <w:tcBorders>
              <w:top w:val="single" w:sz="4" w:space="0" w:color="000000"/>
              <w:left w:val="single" w:sz="4" w:space="0" w:color="000000"/>
              <w:bottom w:val="single" w:sz="4" w:space="0" w:color="000000"/>
              <w:right w:val="single" w:sz="4" w:space="0" w:color="000000"/>
            </w:tcBorders>
            <w:vAlign w:val="center"/>
          </w:tcPr>
          <w:p>
            <w:pPr>
              <w:spacing w:line="320" w:lineRule="exact"/>
              <w:jc w:val="center"/>
              <w:rPr>
                <w:rFonts w:ascii="楷体" w:eastAsia="楷体" w:hAnsi="楷体" w:cs="楷体" w:hint="eastAsia"/>
                <w:sz w:val="22"/>
                <w:szCs w:val="24"/>
              </w:rPr>
            </w:pPr>
            <w:r>
              <w:rPr>
                <w:rFonts w:ascii="楷体" w:eastAsia="楷体" w:hAnsi="楷体" w:cs="楷体" w:hint="eastAsia"/>
                <w:sz w:val="22"/>
                <w:szCs w:val="24"/>
              </w:rPr>
              <w:t xml:space="preserve">持有份额（份）</w:t>
            </w:r>
          </w:p>
        </w:tc>
      </w:tr>
      <w:tr>
        <w:tblPrEx>
          <w:tblW w:w="7305" w:type="dxa"/>
          <w:tblInd w:w="0" w:type="dxa"/>
          <w:tblLayout w:type="fixed"/>
          <w:tblCellMar>
            <w:top w:w="0" w:type="dxa"/>
            <w:left w:w="108" w:type="dxa"/>
            <w:bottom w:w="0" w:type="dxa"/>
            <w:right w:w="108" w:type="dxa"/>
          </w:tblCellMar>
        </w:tblPrEx>
        <w:trPr>
          <w:trHeight w:val="320"/>
        </w:trPr>
        <w:tc>
          <w:tcPr>
            <w:tcW w:w="2798"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2025-09-30</w:t>
            </w:r>
          </w:p>
        </w:tc>
        <w:tc>
          <w:tcPr>
            <w:tcW w:w="4507" w:type="dxa"/>
            <w:tcBorders>
              <w:top w:val="single" w:sz="4" w:space="0" w:color="000000"/>
              <w:left w:val="single" w:sz="4" w:space="0" w:color="000000"/>
              <w:bottom w:val="single" w:sz="4" w:space="0" w:color="000000"/>
              <w:right w:val="single" w:sz="4" w:space="0" w:color="000000"/>
            </w:tcBorders>
          </w:tcPr>
          <w:p>
            <w:pPr>
              <w:jc w:val="center"/>
              <w:rPr>
                <w:rFonts w:ascii="楷体" w:eastAsia="楷体" w:hAnsi="楷体" w:cs="楷体" w:hint="eastAsia"/>
                <w:sz w:val="22"/>
              </w:rPr>
            </w:pPr>
            <w:r>
              <w:rPr>
                <w:rFonts w:ascii="楷体" w:eastAsia="楷体" w:hAnsi="楷体" w:cs="楷体" w:hint="eastAsia"/>
                <w:sz w:val="22"/>
              </w:rPr>
              <w:t xml:space="preserve">12,466,031.00</w:t>
            </w:r>
          </w:p>
        </w:tc>
      </w:tr>
      <w:tr>
        <w:trPr>
          <w:trHeight w:val="320"/>
        </w:trPr>
        <w:tc>
          <w:tcPr>
            <w:tcW w:w="2798"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2025-06-30</w:t>
            </w:r>
          </w:p>
        </w:tc>
        <w:tc>
          <w:tcPr>
            <w:tcW w:w="4507" w:type="dxa"/>
            <w:tcBorders>
              <w:top w:val="single" w:sz="4" w:space="0" w:color="000000"/>
              <w:left w:val="single" w:sz="4" w:space="0" w:color="000000"/>
              <w:bottom w:val="single" w:sz="4" w:space="0" w:color="000000"/>
              <w:right w:val="single" w:sz="4" w:space="0" w:color="000000"/>
            </w:tcBorders>
          </w:tcPr>
          <w:p>
            <w:pPr>
              <w:pageBreakBefore w:val="0"/>
              <w:jc w:val="center"/>
              <w:textAlignment w:val="auto"/>
            </w:pPr>
            <w:r>
              <w:rPr>
                <w:rFonts w:ascii="楷体" w:eastAsia="楷体" w:hAnsi="楷体" w:cs="楷体"/>
                <w:b w:val="0"/>
                <w:i w:val="0"/>
                <w:strike w:val="0"/>
                <w:color w:val="auto"/>
                <w:position w:val="-1"/>
                <w:sz w:val="22"/>
                <w:u w:val="none"/>
              </w:rPr>
              <w:t xml:space="preserve">12,466,031.00</w:t>
            </w:r>
          </w:p>
        </w:tc>
      </w:tr>
    </w:tbl>
    <w:p>
      <w:pPr>
        <w:pStyle w:val="标题4"/>
        <w:rPr>
          <w:rFonts w:ascii="楷体" w:eastAsia="楷体" w:hAnsi="楷体" w:cs="楷体" w:hint="eastAsia"/>
        </w:rPr>
      </w:pPr>
    </w:p>
    <w:p>
      <w:pPr>
        <w:pStyle w:val="Heading3"/>
        <w:rPr>
          <w:rFonts w:ascii="楷体" w:eastAsia="楷体" w:hAnsi="楷体" w:cs="楷体" w:hint="eastAsia"/>
        </w:rPr>
      </w:pPr>
      <w:r>
        <w:rPr>
          <w:rFonts w:ascii="楷体" w:eastAsia="楷体" w:hAnsi="楷体" w:cs="楷体" w:hint="eastAsia"/>
        </w:rPr>
        <w:t xml:space="preserve">四</w:t>
      </w:r>
      <w:r>
        <w:rPr>
          <w:rFonts w:ascii="楷体" w:hAnsi="楷体" w:cs="楷体" w:hint="eastAsia"/>
          <w:lang w:eastAsia="zh-CN"/>
        </w:rPr>
        <w:t xml:space="preserve">、</w:t>
      </w:r>
      <w:r>
        <w:rPr>
          <w:rFonts w:ascii="楷体" w:eastAsia="楷体" w:hAnsi="楷体" w:cs="楷体" w:hint="eastAsia"/>
        </w:rPr>
        <w:t xml:space="preserve">投资运作情况</w:t>
      </w:r>
    </w:p>
    <w:p>
      <w:pPr>
        <w:pStyle w:val="Heading3"/>
        <w:rPr>
          <w:rFonts w:ascii="楷体" w:eastAsia="楷体" w:hAnsi="楷体" w:cs="楷体" w:hint="eastAsia"/>
          <w:b w:val="0"/>
          <w:sz w:val="21"/>
        </w:rPr>
      </w:pPr>
      <w:r>
        <w:rPr>
          <w:rFonts w:ascii="楷体" w:eastAsia="楷体" w:hAnsi="楷体" w:cs="楷体" w:hint="eastAsia"/>
          <w:b w:val="0"/>
          <w:sz w:val="21"/>
        </w:rPr>
        <w:t xml:space="preserve">1、运作期回顾</w:t>
      </w:r>
    </w:p>
    <w:p>
      <w:pPr>
        <w:pStyle w:val="BodyText"/>
        <w:spacing w:before="0" w:line="240" w:lineRule="auto"/>
        <w:ind w:left="0" w:right="0" w:firstLine="0" w:firstLineChars="0"/>
        <w:rPr>
          <w:rFonts w:ascii="楷体" w:eastAsia="楷体" w:hAnsi="楷体" w:cs="楷体" w:hint="eastAsia"/>
          <w:spacing w:val="8"/>
          <w:sz w:val="21"/>
        </w:rPr>
      </w:pPr>
      <w:r>
        <w:rPr>
          <w:rFonts w:ascii="楷体" w:eastAsia="楷体" w:hAnsi="楷体" w:cs="楷体" w:hint="eastAsia"/>
          <w:spacing w:val="8"/>
          <w:sz w:val="21"/>
        </w:rPr>
        <w:t xml:space="preserve">    本理财产品以固收类资产和非标资产为主，采用低波稳健策略，主要配置优质非标与中高等级债券。三季度债券市场整体呈震荡上行趋势，由于产品配置的债券资产兼顾安全性与收益性，产品整体表现较为稳健，后续有望继续提供长期稳健收益。</w:t>
      </w:r>
    </w:p>
    <w:p>
      <w:pPr>
        <w:pStyle w:val="BodyText"/>
        <w:spacing w:before="43" w:line="275" w:lineRule="auto"/>
        <w:ind w:right="1799" w:firstLine="226" w:firstLineChars="100"/>
        <w:rPr>
          <w:rFonts w:ascii="楷体" w:eastAsia="楷体" w:hAnsi="楷体" w:cs="楷体" w:hint="eastAsia"/>
          <w:spacing w:val="8"/>
          <w:sz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2、后市展望及下阶段投资策略</w:t>
      </w:r>
    </w:p>
    <w:p>
      <w:pPr>
        <w:pStyle w:val="BodyText"/>
        <w:spacing w:before="0" w:line="240" w:lineRule="auto"/>
        <w:ind w:left="0" w:right="0" w:firstLine="0" w:firstLineChars="0"/>
        <w:jc w:val="both"/>
        <w:rPr>
          <w:rFonts w:ascii="楷体" w:eastAsia="楷体" w:hAnsi="楷体" w:cs="楷体" w:hint="eastAsia"/>
          <w:sz w:val="21"/>
        </w:rPr>
      </w:pPr>
      <w:r>
        <w:rPr>
          <w:rFonts w:ascii="楷体" w:eastAsia="楷体" w:hAnsi="楷体" w:cs="楷体" w:hint="eastAsia"/>
          <w:spacing w:val="9"/>
          <w:sz w:val="21"/>
        </w:rPr>
        <w:t xml:space="preserve">    基本面方面，三季度 GDP 同比增长 4.8%，较二季度回落 0.4 个百分点，环比增长 1.1%，主要受外部环境复杂严峻与国内结构调整压力叠加影响。工业生产保持活力，前三季度规模以上工业增加值同比增长6.2%，其中装备制造业、高技术制造业增速分别达 9.7%、9.6%，显著快于整体工业水平。金融数据上，前三季度社会融资规模增量累计 30.09 万亿元，同比多增 4.42 万亿元，政府债券净融资 11.46 万亿元（同比多增 4.28 万亿元）成为核心拉动项。债券市场方面，受股债跷跷板影响以及公募基金费率新规引发部分债基赎回压力，利率债收益率整体呈现震荡上行格局。</w:t>
      </w:r>
      <w:r>
        <w:rPr>
          <w:rFonts w:ascii="楷体" w:eastAsia="楷体" w:hAnsi="楷体" w:cs="楷体" w:hint="eastAsia"/>
          <w:spacing w:val="9"/>
          <w:sz w:val="21"/>
        </w:rPr>
        <w:br/>
      </w:r>
      <w:r>
        <w:rPr>
          <w:rFonts w:ascii="楷体" w:eastAsia="楷体" w:hAnsi="楷体" w:cs="楷体" w:hint="eastAsia"/>
          <w:spacing w:val="9"/>
          <w:sz w:val="21"/>
        </w:rPr>
        <w:t xml:space="preserve">    未来，根据市场变化，控制组合久期处于合理稳健区间。资产配置上兼顾安全性、流动性和收益性，坚守风险合规底线，紧密跟踪市场变化，强化投资研究分析，致力于为广大投资者创造长期稳健的投资回报。</w:t>
      </w:r>
    </w:p>
    <w:p>
      <w:pPr>
        <w:ind w:firstLine="420" w:firstLineChars="200"/>
        <w:rPr>
          <w:rFonts w:ascii="楷体" w:eastAsia="楷体" w:hAnsi="楷体" w:cs="楷体" w:hint="eastAsia"/>
          <w:bCs/>
          <w:kern w:val="0"/>
          <w:szCs w:val="21"/>
        </w:rPr>
      </w:pPr>
    </w:p>
    <w:p>
      <w:pPr>
        <w:pStyle w:val="Heading3"/>
        <w:rPr>
          <w:rFonts w:ascii="楷体" w:eastAsia="楷体" w:hAnsi="楷体" w:cs="楷体" w:hint="eastAsia"/>
          <w:b w:val="0"/>
          <w:sz w:val="21"/>
        </w:rPr>
      </w:pPr>
      <w:r>
        <w:rPr>
          <w:rFonts w:ascii="楷体" w:eastAsia="楷体" w:hAnsi="楷体" w:cs="楷体" w:hint="eastAsia"/>
          <w:b w:val="0"/>
          <w:sz w:val="21"/>
        </w:rPr>
        <w:t xml:space="preserve">3、流动性风险分析</w:t>
      </w:r>
    </w:p>
    <w:p>
      <w:pPr>
        <w:pStyle w:val="BodyText"/>
        <w:spacing w:before="0" w:line="240" w:lineRule="auto"/>
        <w:ind w:left="0" w:right="0" w:firstLine="0" w:firstLineChars="0"/>
        <w:rPr>
          <w:rFonts w:ascii="楷体" w:eastAsia="楷体" w:hAnsi="楷体" w:cs="楷体" w:hint="eastAsia"/>
          <w:sz w:val="21"/>
        </w:rPr>
      </w:pPr>
      <w:r>
        <w:rPr>
          <w:rFonts w:ascii="楷体" w:eastAsia="楷体" w:hAnsi="楷体" w:cs="楷体" w:hint="eastAsia"/>
          <w:spacing w:val="9"/>
          <w:sz w:val="21"/>
        </w:rPr>
        <w:t xml:space="preserve">    本产品持仓优质非标资产与固收类资产，抗市场波动能力较强，通过组合久期管理、流动性指标监测等多项措施持续加强久期与流动性管理，有效控制产品的流动性风险。</w:t>
      </w:r>
    </w:p>
    <w:p>
      <w:pPr>
        <w:ind w:firstLine="420" w:firstLineChars="200"/>
        <w:rPr>
          <w:rFonts w:ascii="楷体" w:eastAsia="楷体" w:hAnsi="楷体" w:cs="楷体" w:hint="eastAsia"/>
          <w:bCs/>
          <w:kern w:val="0"/>
          <w:szCs w:val="21"/>
        </w:rPr>
      </w:pPr>
    </w:p>
    <w:p>
      <w:pPr>
        <w:rPr>
          <w:rFonts w:ascii="楷体" w:eastAsia="楷体" w:hAnsi="楷体" w:cs="楷体" w:hint="eastAsia"/>
        </w:rPr>
      </w:pPr>
    </w:p>
    <w:p>
      <w:pPr>
        <w:ind w:firstLine="420" w:firstLineChars="200"/>
        <w:rPr>
          <w:rFonts w:ascii="楷体" w:eastAsia="楷体" w:hAnsi="楷体" w:cs="楷体" w:hint="eastAsia"/>
          <w:bCs/>
          <w:kern w:val="0"/>
          <w:szCs w:val="21"/>
        </w:rPr>
      </w:pPr>
    </w:p>
    <w:p>
      <w:pPr>
        <w:rPr>
          <w:rFonts w:ascii="楷体" w:eastAsia="楷体" w:hAnsi="楷体" w:cs="楷体" w:hint="eastAsia"/>
          <w:sz w:val="21"/>
          <w:szCs w:val="21"/>
        </w:rPr>
      </w:pPr>
    </w:p>
    <w:p>
      <w:pPr>
        <w:jc w:val="right"/>
        <w:rPr>
          <w:rFonts w:ascii="楷体" w:eastAsia="楷体" w:hAnsi="楷体" w:cs="楷体" w:hint="eastAsia"/>
          <w:sz w:val="21"/>
          <w:szCs w:val="21"/>
        </w:rPr>
      </w:pPr>
      <w:r>
        <w:rPr>
          <w:rFonts w:ascii="楷体" w:eastAsia="楷体" w:hAnsi="楷体" w:cs="楷体" w:hint="eastAsia"/>
          <w:b/>
          <w:sz w:val="21"/>
          <w:szCs w:val="21"/>
        </w:rPr>
        <w:t xml:space="preserve">苏银理财有限责任公司</w:t>
      </w:r>
    </w:p>
    <w:p>
      <w:pPr>
        <w:ind w:firstLine="630" w:firstLineChars="300"/>
        <w:jc w:val="right"/>
        <w:rPr>
          <w:rFonts w:ascii="楷体" w:eastAsia="楷体" w:hAnsi="楷体" w:cs="楷体" w:hint="eastAsia"/>
          <w:sz w:val="21"/>
          <w:szCs w:val="21"/>
        </w:rPr>
      </w:pPr>
      <w:r>
        <w:rPr>
          <w:rFonts w:ascii="楷体" w:eastAsia="楷体" w:hAnsi="楷体" w:cs="楷体" w:hint="eastAsia"/>
          <w:sz w:val="21"/>
          <w:szCs w:val="21"/>
        </w:rPr>
        <w:t xml:space="preserve">2025年09月30日</w:t>
      </w:r>
    </w:p>
    <w:p>
      <w:pPr>
        <w:rPr>
          <w:rFonts w:ascii="楷体" w:eastAsia="楷体" w:hAnsi="楷体" w:cs="楷体" w:hint="eastAsia"/>
          <w:sz w:val="21"/>
          <w:szCs w:val="21"/>
        </w:rPr>
      </w:pPr>
    </w:p>
    <w:p>
      <w:pPr>
        <w:rPr>
          <w:rFonts w:ascii="楷体" w:eastAsia="楷体" w:hAnsi="楷体" w:cs="楷体" w:hint="eastAsia"/>
          <w:sz w:val="21"/>
          <w:szCs w:val="21"/>
        </w:rPr>
      </w:pPr>
      <w:r>
        <w:rPr>
          <w:rFonts w:ascii="楷体" w:eastAsia="楷体" w:hAnsi="楷体" w:cs="楷体" w:hint="eastAsia"/>
          <w:sz w:val="21"/>
          <w:szCs w:val="21"/>
        </w:rPr>
        <w:t xml:space="preserve">备注：本次披露内容解释权归苏银理财所有，不构成任何形式的法律要约或承诺。</w:t>
      </w:r>
    </w:p>
    <w:sectPr>
      <w:headerReference w:type="even" r:id="rId5"/>
      <w:headerReference w:type="default" r:id="rId6"/>
      <w:headerReference w:type="first" r:id="rId7"/>
      <w:footerReference w:type="default" r:id="rId8"/>
      <w:pgSz w:w="11906" w:h="16838" w:orient="portrait"/>
      <w:pgMar w:top="1440" w:right="1800" w:bottom="1440" w:left="1701" w:header="851" w:footer="992" w:gutter="0"/>
      <w:cols w:num="1" w:space="720">
        <w:col w:w="8405"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Auto"/>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Auto"/>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Auto"/>
    <w:pitch w:val="default"/>
    <w:sig w:usb0="E0002EFF" w:usb1="C0007843" w:usb2="00000009" w:usb3="00000000" w:csb0="400001FF" w:csb1="FFFF0000"/>
  </w:font>
  <w:font w:name="Symbol">
    <w:panose1 w:val="05050102010706020507"/>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Footer"/>
      <w:jc w:val="center"/>
    </w:pPr>
    <w:r>
      <w:rPr>
        <w:lang w:val="zh-CN"/>
      </w:rPr>
      <w:t xml:space="preserve"> </w:t>
    </w:r>
    <w:r>
      <w:rPr>
        <w:b/>
        <w:bCs/>
      </w:rPr>
      <w:fldChar w:fldCharType="begin"/>
    </w:r>
    <w:r>
      <w:rPr>
        <w:b/>
        <w:bCs/>
      </w:rPr>
      <w:instrText xml:space="preserve">PAGE</w:instrText>
    </w:r>
    <w:r>
      <w:rPr>
        <w:b/>
        <w:bCs/>
        <w:sz w:val="24"/>
        <w:szCs w:val="24"/>
      </w:rPr>
      <w:fldChar w:fldCharType="separate"/>
    </w:r>
    <w:r>
      <w:rPr>
        <w:b/>
        <w:bCs/>
      </w:rPr>
      <w:t xml:space="preserve">2</w:t>
    </w:r>
    <w:r>
      <w:rPr>
        <w:b/>
        <w:bCs/>
        <w:sz w:val="24"/>
        <w:szCs w:val="24"/>
      </w:rPr>
      <w:fldChar w:fldCharType="end"/>
    </w:r>
    <w:r>
      <w:rPr>
        <w:lang w:val="zh-CN"/>
      </w:rPr>
      <w:t xml:space="preserve"> / </w:t>
    </w:r>
    <w:r>
      <w:rPr>
        <w:b/>
        <w:bCs/>
      </w:rPr>
      <w:fldChar w:fldCharType="begin"/>
    </w:r>
    <w:r>
      <w:rPr>
        <w:b/>
        <w:bCs/>
      </w:rPr>
      <w:instrText xml:space="preserve">NUMPAGES</w:instrText>
    </w:r>
    <w:r>
      <w:rPr>
        <w:b/>
        <w:bCs/>
        <w:sz w:val="24"/>
        <w:szCs w:val="24"/>
      </w:rPr>
      <w:fldChar w:fldCharType="separate"/>
    </w:r>
    <w:r>
      <w:rPr>
        <w:b/>
        <w:bCs/>
      </w:rPr>
      <w:t xml:space="preserve">4</w:t>
    </w:r>
    <w:r>
      <w:rPr>
        <w:b/>
        <w:bCs/>
        <w:sz w:val="24"/>
        <w:szCs w:val="24"/>
      </w:rPr>
      <w:fldChar w:fldCharType="end"/>
    </w:r>
  </w:p>
  <w:p>
    <w:pPr>
      <w:pStyle w:val="Foote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5" o:spid="WordPictureWatermark7058" type="#_x0000_t75" style="height:862.85pt;margin-left:0;margin-top:0;mso-height-relative:page;mso-position-horizontal:center;mso-position-horizontal-relative:margin;mso-position-vertical:center;mso-position-vertical-relative:margin;mso-width-relative:page;position:absolute;width:1137.35pt;z-index:-251656192" coordsize="21600,21600" o:allowincell="f" o:preferrelative="t" filled="f" stroked="f">
          <v:stroke joinstyle="miter"/>
          <v:imagedata r:id="rId1" o:title="苏银理财" gain="19661f" blacklevel="22938f"/>
          <o:lock v:ext="edit" aspectratio="t"/>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BodyText"/>
      <w:kinsoku w:val="0"/>
      <w:overflowPunct w:val="0"/>
      <w:spacing w:before="0" w:line="320" w:lineRule="exact"/>
      <w:ind w:left="20"/>
      <w:jc w:val="both"/>
      <w:rPr>
        <w:rFonts w:ascii="楷体" w:eastAsia="楷体" w:hAnsi="楷体" w:cs="黑体"/>
        <w:b/>
        <w:spacing w:val="-2"/>
        <w:sz w:val="24"/>
        <w:szCs w:val="24"/>
      </w:rPr>
    </w:pPr>
    <w:r>
      <w:rPr/>
      <w:pict>
        <v:shape id="WordPictureWatermark1026" o:spid="WordPictureWatermark7060" type="#_x0000_t75" style="height:862.85pt;margin-left:0;margin-top:0;mso-height-relative:page;mso-position-horizontal:center;mso-position-horizontal-relative:margin;mso-position-vertical:center;mso-position-vertical-relative:margin;mso-width-relative:page;position:absolute;width:1137.35pt;z-index:-251655168" coordsize="21600,21600" o:allowincell="f" o:preferrelative="t" filled="f" stroked="f">
          <v:stroke joinstyle="miter"/>
          <v:imagedata r:id="rId1" o:title="苏银理财" gain="19661f" blacklevel="22938f"/>
          <o:lock v:ext="edit" aspectratio="t"/>
          <w10:wrap anchorx="margin" anchory="margin"/>
        </v:shape>
      </w:pict>
    </w:r>
    <w:r>
      <w:pict>
        <v:shape id="图片 1" o:spid="_x0000_s7061" type="#_x0000_t75" style="height:33.45pt;margin-left:308.95pt;margin-top:-7.5pt;mso-height-relative:page;mso-width-relative:page;mso-wrap-distance-bottom:0;mso-wrap-distance-left:9pt;mso-wrap-distance-right:9pt;mso-wrap-distance-top:0;position:absolute;width:104.35pt;z-index:251662336" coordsize="21600,21600" o:preferrelative="t" filled="f" stroked="f">
          <v:stroke joinstyle="miter"/>
          <v:imagedata r:id="rId2" o:title=""/>
          <o:lock v:ext="edit" aspectratio="t"/>
          <w10:wrap type="square"/>
        </v:shape>
      </w:pict>
    </w:r>
    <w:r>
      <w:rPr>
        <w:rFonts w:ascii="楷体" w:eastAsia="楷体" w:hAnsi="楷体" w:cs="黑体" w:hint="eastAsia"/>
        <w:b/>
        <w:bCs/>
        <w:spacing w:val="-2"/>
        <w:sz w:val="24"/>
        <w:szCs w:val="24"/>
      </w:rPr>
      <w:t xml:space="preserve">理财非存款、产品有风险、投资须谨慎</w: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pPr>
    <w:r>
      <w:rPr/>
      <w:pict>
        <v:shape id="WordPictureWatermark1027" o:spid="WordPictureWatermark7063" type="#_x0000_t75" style="height:862.85pt;margin-left:0;margin-top:0;mso-height-relative:page;mso-position-horizontal:center;mso-position-horizontal-relative:margin;mso-position-vertical:center;mso-position-vertical-relative:margin;mso-width-relative:page;position:absolute;width:1137.35pt;z-index:-251657216" coordsize="21600,21600" o:allowincell="f" o:preferrelative="t" filled="f" stroked="f">
          <v:stroke joinstyle="miter"/>
          <v:imagedata r:id="rId1" o:title="苏银理财" gain="19661f" blacklevel="22938f"/>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singleLevel"/>
    <w:lvl w:ilvl="0">
      <w:start w:val="3"/>
      <w:numFmt w:val="chineseCounting"/>
      <w:suff w:val="nothing"/>
      <w:lvlText w:val="（%1）"/>
      <w:lvlJc w:val="left"/>
      <w:rPr>
        <w:rFonts w:hint="eastAsia"/>
      </w:rPr>
    </w:lvl>
  </w:abstractNum>
  <w:abstractNum w:abstractNumId="3">
    <w:multiLevelType w:val="singleLevel"/>
    <w:lvl w:ilvl="0">
      <w:start w:val="3"/>
      <w:numFmt w:val="decimal"/>
      <w:suff w:val="nothing"/>
      <w:lvlText w:val="%1）"/>
      <w:lvlJc w:val="lef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6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2Q0YzJjZmYwZmM4YTNhMDViNTkyMTNhM2QwMmM4Nj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宋体" w:hAnsi="Arial" w:eastAsiaTheme="minorEastAsia" w:cs="Arial"/>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1"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semiHidden="0" w:qFormat="1"/>
    <w:lsdException w:name="header" w:semiHidden="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semiHidden="0"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uiPriority="1" w:unhideWhenUsed="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Variable" w:uiPriority="0"/>
    <w:lsdException w:name="Normal Table" w:qFormat="1"/>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qFormat="1"/>
    <w:lsdException w:name="Table Grid" w:semiHidden="0" w:uiPriority="39"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宋体" w:eastAsia="宋体" w:hAnsi="宋体" w:cs="宋体"/>
      <w:kern w:val="2"/>
      <w:sz w:val="28"/>
      <w:szCs w:val="22"/>
      <w:lang w:val="en-US" w:eastAsia="zh-CN" w:bidi="ar-SA"/>
    </w:rPr>
  </w:style>
  <w:style w:type="paragraph" w:styleId="Heading3">
    <w:name w:val="Heading 3"/>
    <w:basedOn w:val="Normal"/>
    <w:next w:val="Normal"/>
    <w:uiPriority w:val="1"/>
    <w:qFormat/>
    <w:pPr>
      <w:autoSpaceDE w:val="0"/>
      <w:autoSpaceDN w:val="0"/>
      <w:adjustRightInd w:val="0"/>
      <w:spacing w:before="34"/>
      <w:ind w:left="120"/>
      <w:jc w:val="left"/>
      <w:outlineLvl w:val="2"/>
    </w:pPr>
    <w:rPr>
      <w:rFonts w:ascii="宋体" w:eastAsia="楷体" w:hAnsi="Times New Roman"/>
      <w:b/>
      <w:bCs/>
      <w:kern w:val="0"/>
      <w:sz w:val="24"/>
      <w:szCs w:val="21"/>
    </w:rPr>
  </w:style>
  <w:style w:type="character" w:default="1" w:styleId="DefaultParagraphFont">
    <w:name w:val="Default Paragraph Font"/>
    <w:uiPriority w:val="1"/>
    <w:semiHidden/>
    <w:unhideWhenUsed/>
    <w:qFormat/>
    <w:rPr/>
  </w:style>
  <w:style w:type="table" w:default="1" w:styleId="TableNormal">
    <w:name w:val="Normal Table"/>
    <w:uiPriority w:val="99"/>
    <w:semiHidden/>
    <w:unhideWhenUsed/>
    <w:qFormat/>
    <w:rPr/>
    <w:tblPr>
      <w:tblCellMar>
        <w:top w:w="0" w:type="dxa"/>
        <w:left w:w="108" w:type="dxa"/>
        <w:bottom w:w="0" w:type="dxa"/>
        <w:right w:w="108" w:type="dxa"/>
      </w:tblCellMar>
    </w:tblPr>
  </w:style>
  <w:style w:type="paragraph" w:styleId="annotationtext">
    <w:name w:val="annotation text"/>
    <w:basedOn w:val="Normal"/>
    <w:uiPriority w:val="99"/>
    <w:unhideWhenUsed/>
    <w:qFormat/>
    <w:pPr>
      <w:jc w:val="left"/>
    </w:pPr>
    <w:rPr/>
  </w:style>
  <w:style w:type="paragraph" w:styleId="BodyText">
    <w:name w:val="Body Text"/>
    <w:basedOn w:val="Normal"/>
    <w:uiPriority w:val="1"/>
    <w:qFormat/>
    <w:pPr>
      <w:autoSpaceDE w:val="0"/>
      <w:autoSpaceDN w:val="0"/>
      <w:adjustRightInd w:val="0"/>
      <w:spacing w:before="162"/>
      <w:ind w:left="120"/>
      <w:jc w:val="left"/>
    </w:pPr>
    <w:rPr>
      <w:rFonts w:ascii="宋体" w:eastAsia="宋体" w:hAnsi="Times New Roman" w:cs="宋体"/>
      <w:kern w:val="0"/>
      <w:sz w:val="20"/>
      <w:szCs w:val="21"/>
    </w:rPr>
  </w:style>
  <w:style w:type="paragraph" w:styleId="BalloonText">
    <w:name w:val="Balloon Text"/>
    <w:basedOn w:val="Normal"/>
    <w:uiPriority w:val="99"/>
    <w:unhideWhenUsed/>
    <w:qFormat/>
    <w:rPr>
      <w:sz w:val="18"/>
      <w:szCs w:val="18"/>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nnotationreference">
    <w:name w:val="annotation reference"/>
    <w:uiPriority w:val="99"/>
    <w:unhideWhenUsed/>
    <w:qFormat/>
    <w:rPr>
      <w:sz w:val="21"/>
      <w:szCs w:val="21"/>
    </w:rPr>
  </w:style>
  <w:style w:type="table" w:styleId="TableGrid">
    <w:name w:val="Table Grid"/>
    <w:basedOn w:val="TableNormal"/>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无间隔1">
    <w:name w:val="无间隔1"/>
    <w:uiPriority w:val="1"/>
    <w:qFormat/>
    <w:pPr>
      <w:widowControl w:val="0"/>
      <w:jc w:val="both"/>
    </w:pPr>
    <w:rPr>
      <w:rFonts w:ascii="等线" w:eastAsia="等线" w:hAnsi="等线" w:cs="Times New Roman"/>
      <w:kern w:val="2"/>
      <w:sz w:val="21"/>
      <w:szCs w:val="22"/>
      <w:lang w:val="en-US" w:eastAsia="zh-CN" w:bidi="ar-SA"/>
    </w:rPr>
  </w:style>
  <w:style w:type="paragraph" w:customStyle="1" w:styleId="标题4">
    <w:name w:val="标题4"/>
    <w:basedOn w:val="Normal"/>
    <w:qFormat/>
    <w:rPr>
      <w:rFonts w:eastAsia="楷体"/>
    </w:rPr>
  </w:style>
  <w:style w:type="character" w:customStyle="1" w:styleId="页眉字符">
    <w:name w:val="页眉 字符"/>
    <w:link w:val="批注框文本字符"/>
    <w:uiPriority w:val="99"/>
    <w:qFormat/>
    <w:rPr>
      <w:sz w:val="18"/>
      <w:szCs w:val="18"/>
    </w:rPr>
  </w:style>
  <w:style w:type="character" w:customStyle="1" w:styleId="页脚字符">
    <w:name w:val="页脚 字符"/>
    <w:link w:val="标题3字符"/>
    <w:uiPriority w:val="99"/>
    <w:qFormat/>
    <w:rPr>
      <w:sz w:val="18"/>
      <w:szCs w:val="18"/>
    </w:rPr>
  </w:style>
  <w:style w:type="character" w:customStyle="1" w:styleId="正文文本字符1">
    <w:name w:val="正文文本 字符1"/>
    <w:uiPriority w:val="1"/>
    <w:qFormat/>
    <w:rPr>
      <w:rFonts w:ascii="宋体" w:eastAsia="宋体" w:hAnsi="Times New Roman" w:cs="宋体"/>
      <w:szCs w:val="21"/>
    </w:rPr>
  </w:style>
  <w:style w:type="character" w:customStyle="1" w:styleId="正文文本字符">
    <w:name w:val="正文文本 字符"/>
    <w:uiPriority w:val="99"/>
    <w:semiHidden/>
    <w:qFormat/>
    <w:rPr>
      <w:kern w:val="2"/>
      <w:sz w:val="21"/>
      <w:szCs w:val="22"/>
    </w:rPr>
  </w:style>
  <w:style w:type="character" w:customStyle="1" w:styleId="批注文字字符1">
    <w:name w:val="批注文字 字符1"/>
    <w:uiPriority w:val="99"/>
    <w:qFormat/>
    <w:rPr>
      <w:kern w:val="2"/>
      <w:sz w:val="21"/>
      <w:szCs w:val="22"/>
    </w:rPr>
  </w:style>
  <w:style w:type="character" w:customStyle="1" w:styleId="批注文字字符">
    <w:name w:val="批注文字 字符"/>
    <w:uiPriority w:val="99"/>
    <w:semiHidden/>
    <w:qFormat/>
    <w:rPr>
      <w:kern w:val="2"/>
      <w:sz w:val="21"/>
      <w:szCs w:val="22"/>
    </w:rPr>
  </w:style>
  <w:style w:type="character" w:customStyle="1" w:styleId="批注框文本字符">
    <w:name w:val="批注框文本 字符"/>
    <w:uiPriority w:val="99"/>
    <w:semiHidden/>
    <w:qFormat/>
    <w:rPr>
      <w:kern w:val="2"/>
      <w:sz w:val="18"/>
      <w:szCs w:val="18"/>
    </w:rPr>
  </w:style>
  <w:style w:type="character" w:customStyle="1" w:styleId="标题3字符">
    <w:name w:val="标题 3 字符"/>
    <w:uiPriority w:val="9"/>
    <w:semiHidden/>
    <w:qFormat/>
    <w:rPr>
      <w:b/>
      <w:bCs/>
      <w:kern w:val="2"/>
      <w:sz w:val="32"/>
      <w:szCs w:val="32"/>
    </w:rPr>
  </w:style>
  <w:style w:type="character" w:customStyle="1" w:styleId="标题3字符1">
    <w:name w:val="标题 3 字符1"/>
    <w:link w:val="Heading3"/>
    <w:uiPriority w:val="1"/>
    <w:qFormat/>
    <w:rPr>
      <w:rFonts w:ascii="宋体" w:eastAsia="楷体" w:hAnsi="Times New Roman"/>
      <w:b/>
      <w:bCs/>
      <w:sz w:val="24"/>
      <w:szCs w:val="21"/>
    </w:rPr>
  </w:style>
  <w:style w:type="character" w:customStyle="1" w:styleId="标题4字符">
    <w:name w:val="标题4 字符"/>
    <w:qFormat/>
    <w:rPr>
      <w:rFonts w:eastAsia="楷体"/>
      <w:kern w:val="2"/>
      <w:sz w:val="21"/>
      <w:szCs w:val="22"/>
    </w:rPr>
  </w:style>
  <w:style w:type="paragraph" w:customStyle="1" w:styleId="TableText">
    <w:name w:val="Table Text"/>
    <w:basedOn w:val="Normal"/>
    <w:semiHidden/>
    <w:qFormat/>
    <w:rPr>
      <w:rFonts w:ascii="楷体" w:eastAsia="楷体" w:hAnsi="楷体" w:cs="楷体"/>
      <w:sz w:val="22"/>
    </w:rPr>
  </w:style>
  <w:style w:type="table" w:customStyle="1" w:styleId="TableNormal0">
    <w:name w:val="Table Normal"/>
    <w:semiHidden/>
    <w:unhideWhenUsed/>
    <w:qFormat/>
    <w:rPr/>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styles" Target="styles.xml" /><Relationship Id="rId11" Type="http://schemas.openxmlformats.org/officeDocument/2006/relationships/webSettings" Target="webSettings.xml" /><Relationship Id="rId12" Type="http://schemas.openxmlformats.org/officeDocument/2006/relationships/numbering" Target="numbering.xml" /><Relationship Id="rId13" Type="http://schemas.openxmlformats.org/officeDocument/2006/relationships/fontTable" Target="fontTable.xml" /><Relationship Id="rId14" Type="http://schemas.openxmlformats.org/officeDocument/2006/relationships/settings" Target="settings.xml" /><Relationship Id="rId2" Type="http://schemas.openxmlformats.org/officeDocument/2006/relationships/customXml" Target="../customXml/item2.xml" /><Relationship Id="rId3" Type="http://schemas.openxmlformats.org/officeDocument/2006/relationships/customXml" Target="../customXml/item3.xml" /><Relationship Id="rId4" Type="http://schemas.openxmlformats.org/officeDocument/2006/relationships/customXml" Target="../customXml/item4.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theme" Target="theme/theme1.xml" /></Relationships>
</file>

<file path=word/_rels/header1.xml.rels>&#65279;<?xml version="1.0" encoding="utf-8"?><Relationships xmlns="http://schemas.openxmlformats.org/package/2006/relationships"><Relationship Id="rId1" Type="http://schemas.openxmlformats.org/officeDocument/2006/relationships/image" Target="media/image1.png" /></Relationships>
</file>

<file path=word/_rels/header2.xml.rels>&#65279;<?xml version="1.0" encoding="utf-8"?><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_rels/header3.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item1.xml><?xml version="1.0" encoding="utf-8"?>
<cp:coreProperties xmlns:cp="http://schemas.openxmlformats.org/package/2006/metadata/core-properties" xmlns:dc="http://purl.org/dc/elements/1.1/" xmlns:dcterms="http://purl.org/dc/terms/" xmlns:xsi="http://www.w3.org/2001/XMLSchema-instance">
  <dcterms:created xsi:type="dcterms:W3CDTF">2021-11-18T10:04:00Z</dcterms:created>
  <dc:creator>User</dc:creator>
  <cp:lastModifiedBy>zhangguoxing</cp:lastModifiedBy>
  <dcterms:modified xsi:type="dcterms:W3CDTF">2025-10-13T11:54:56Z</dcterms:modified>
  <cp:revision>22</cp:revision>
  <dc:title>“${prdInfo.PRD_NAME}”理财产品</dc:title>
</cp:coreProperties>
</file>

<file path=customXml/item2.xml><?xml version="1.0" encoding="utf-8"?>
<Properties xmlns="http://schemas.openxmlformats.org/officeDocument/2006/extended-properties" xmlns:vt="http://schemas.openxmlformats.org/officeDocument/2006/docPropsVTypes">
  <Template>Normal.dotm</Template>
  <Company>WORKGROUP</Company>
  <Pages>4</Pages>
  <Words>419</Words>
  <Characters>2389</Characters>
  <Lines>19</Lines>
  <Paragraphs>5</Paragraphs>
  <TotalTime>18</TotalTime>
  <ScaleCrop>false</ScaleCrop>
  <LinksUpToDate>false</LinksUpToDate>
  <CharactersWithSpaces>2803</CharactersWithSpaces>
  <Application>WPS Office_10.8.2.7119_F1E327BC-269C-435d-A152-05C5408002CA</Application>
  <DocSecurity>0</DocSecurity>
</Properties>
</file>

<file path=customXml/item3.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31802637FF8E4298AD1DCE61A946E12D</vt:lpwstr>
  </property>
</Properties>
</file>

<file path=customXml/item4.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6"/>
    <customShpInfo spid="_x0000_s3073"/>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18</TotalTime>
  <Pages>4</Pages>
  <Words>419</Words>
  <Characters>2389</Characters>
  <Application>WPS Office_10.8.2.7119_F1E327BC-269C-435d-A152-05C5408002CA</Application>
  <DocSecurity>0</DocSecurity>
  <Lines>19</Lines>
  <Paragraphs>5</Paragraphs>
  <Company>WORKGROUP</Company>
  <CharactersWithSpaces>2803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_x201C__x0024__x007B_prdInfo.PRD_NAME_x007D__x201D_理财产品</dc:title>
  <dc:creator>User</dc:creator>
  <cp:lastModifiedBy>zhangguoxing</cp:lastModifiedBy>
  <cp:revision>22</cp:revision>
  <dcterms:created xsi:type="dcterms:W3CDTF">2021-11-18T10:04:00Z</dcterms:created>
  <dcterms:modified xsi:type="dcterms:W3CDTF">2025-10-21T10:53:11Z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str>2052-10.8.2.7119</vt:lpstr>
  </property>
  <property fmtid="{D5CDD505-2E9C-101B-9397-08002B2CF9AE}" pid="3" name="ICV">
    <vt:lpstr>31802637FF8E4298AD1DCE61A946E12D</vt:lpstr>
  </property>
</Properties>
</file>