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苏银理财恒源1年定开17期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苏银理财恒源1年定开17期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2021年07月07日</w:t>
      </w:r>
      <w:r>
        <w:rPr>
          <w:rFonts w:ascii="楷体" w:eastAsia="楷体" w:hAnsi="楷体" w:cs="楷体" w:hint="eastAsia"/>
        </w:rPr>
        <w:t xml:space="preserve">成立，于</w:t>
      </w:r>
      <w:r>
        <w:rPr>
          <w:rFonts w:ascii="楷体" w:eastAsia="楷体" w:hAnsi="楷体" w:cs="楷体" w:hint="eastAsia"/>
          <w:spacing w:val="-7"/>
        </w:rPr>
        <w:t xml:space="preserve">2021年07月07日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苏银理财恒源1年定开17期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Z7003121000108</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开放式净值型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2,759,575,350.99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2,768,954,751.45</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31000188000436119</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2,969,487,390.10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107.24%</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苏银理财恒源1年定开17期A</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1.003298</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1.159525</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苏银理财恒源1年定开17期B</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1.003341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1.161272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苏银理财恒源1年定开17期C</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苏银理财恒源1年定开17期D</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1.003522</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1.077022</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苏银理财恒源1年定开17期F</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1.003299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1.073566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苏银理财恒源1年定开17期G</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1.003374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1.075306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2.65%-3.25%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苏银理财恒源1年定开17期J</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1.003447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1.075906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2.70%-3.30%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苏银理财恒源1年定开17期P</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1.003604</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1.003604</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2.80%-3.40%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苏银理财恒源1年定开17期Q</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苏银理财恒源1年定开17期S</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1.003357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1.003357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2.63%-3.23%</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苏银理财恒源1年定开17期ZA（自动赎回）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1.003305</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1.073566</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苏银理财恒源1年定开17期ZF（自动赎回）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1.003309</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1.073570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2.60%-3.20%</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苏银理财恒源1年定开17期ZN（自动赎回）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1.003531</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2.75%-3.35%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苏银理财恒源1年定开17期ZQ（自动赎回）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1.003240</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1.003240</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2.55%-3.15%</w:t>
            </w:r>
          </w:p>
        </w:tc>
      </w:tr>
      <w:tr>
        <w:trPr>
          <w:trHeight w:val="0"/>
        </w:trPr>
        <w:tc>
          <w:tcPr>
            <w:tcW w:w="1510" w:type="dxa"/>
          </w:tcPr>
          <w:p>
            <w:pPr>
              <w:pageBreakBefore w:val="0"/>
              <w:jc w:val="center"/>
              <w:textAlignment w:val="auto"/>
            </w:pPr>
            <w:r>
              <w:rPr>
                <w:rFonts w:ascii="楷体" w:eastAsia="楷体" w:hAnsi="楷体" w:cs="楷体"/>
                <w:b w:val="0"/>
                <w:i w:val="0"/>
                <w:strike w:val="0"/>
                <w:color w:val="auto"/>
                <w:position w:val="-1"/>
                <w:sz w:val="22"/>
                <w:u w:val="none"/>
              </w:rPr>
              <w:t xml:space="preserve">2025-09-30</w:t>
            </w:r>
          </w:p>
        </w:tc>
        <w:tc>
          <w:tcPr>
            <w:tcW w:w="2100" w:type="dxa"/>
          </w:tcPr>
          <w:p>
            <w:pPr>
              <w:pageBreakBefore w:val="0"/>
              <w:jc w:val="center"/>
              <w:textAlignment w:val="auto"/>
            </w:pPr>
            <w:r>
              <w:rPr>
                <w:rFonts w:ascii="楷体" w:eastAsia="楷体" w:hAnsi="楷体" w:cs="楷体"/>
                <w:b w:val="0"/>
                <w:i w:val="0"/>
                <w:strike w:val="0"/>
                <w:color w:val="auto"/>
                <w:position w:val="-1"/>
                <w:sz w:val="22"/>
                <w:u w:val="none"/>
              </w:rPr>
              <w:t xml:space="preserve">苏银理财恒源1年定开17期ZR（自动赎回）</w:t>
            </w:r>
          </w:p>
        </w:tc>
        <w:tc>
          <w:tcPr>
            <w:tcW w:w="1470" w:type="dxa"/>
          </w:tcPr>
          <w:p>
            <w:pPr>
              <w:pageBreakBefore w:val="0"/>
              <w:jc w:val="center"/>
              <w:textAlignment w:val="auto"/>
            </w:pPr>
            <w:r>
              <w:rPr>
                <w:rFonts w:ascii="楷体" w:eastAsia="楷体" w:hAnsi="楷体" w:cs="楷体"/>
                <w:b w:val="0"/>
                <w:i w:val="0"/>
                <w:strike w:val="0"/>
                <w:color w:val="auto"/>
                <w:position w:val="-1"/>
                <w:sz w:val="22"/>
                <w:u w:val="none"/>
              </w:rPr>
              <w:t xml:space="preserve">1.003677</w:t>
            </w:r>
          </w:p>
        </w:tc>
        <w:tc>
          <w:tcPr>
            <w:tcW w:w="1665" w:type="dxa"/>
          </w:tcPr>
          <w:p>
            <w:pPr>
              <w:pageBreakBefore w:val="0"/>
              <w:jc w:val="center"/>
              <w:textAlignment w:val="auto"/>
            </w:pPr>
            <w:r>
              <w:rPr>
                <w:rFonts w:ascii="楷体" w:eastAsia="楷体" w:hAnsi="楷体" w:cs="楷体"/>
                <w:b w:val="0"/>
                <w:i w:val="0"/>
                <w:strike w:val="0"/>
                <w:color w:val="auto"/>
                <w:position w:val="-1"/>
                <w:sz w:val="22"/>
                <w:u w:val="none"/>
              </w:rPr>
              <w:t xml:space="preserve">1.003677</w:t>
            </w:r>
          </w:p>
        </w:tc>
        <w:tc>
          <w:tcPr>
            <w:tcW w:w="1876" w:type="dxa"/>
          </w:tcPr>
          <w:p>
            <w:pPr>
              <w:pageBreakBefore w:val="0"/>
              <w:jc w:val="center"/>
              <w:textAlignment w:val="auto"/>
            </w:pPr>
            <w:r>
              <w:rPr>
                <w:rFonts w:ascii="楷体" w:eastAsia="楷体" w:hAnsi="楷体" w:cs="楷体"/>
                <w:b w:val="0"/>
                <w:i w:val="0"/>
                <w:strike w:val="0"/>
                <w:color w:val="auto"/>
                <w:position w:val="-1"/>
                <w:sz w:val="22"/>
                <w:u w:val="none"/>
              </w:rPr>
              <w:t xml:space="preserve">2.85%-3.45%</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26.98%</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68.39%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3.78%</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0.85%</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30.76%</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69.24%</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华能信托-字慧33号集合资金信托计划（放心借）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142,243,928.76</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24金坛03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122,286,655.90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4.04%</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24金投01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101,985,200.00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3.37%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24邳恒03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99,566,764.38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3.29%</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非标准化债权类资产</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78,157,923.22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2.58%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24盐投03</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71,094,391.03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2.35%</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56,197,969.53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1.86%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24扬州02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53,393,504.80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24盐国02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51,677,230.82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G三航Y1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51,447,659.59</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1.70%</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抖音导流、信托自主审核通过的借款人</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华能信托-字慧33号集合资金信托计划（放心借）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338</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142,000,000.00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中粮信托-谷丰165号-蚂蚁花呗-第二期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163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78,000,000.00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循环期不还本不付息，摊还期按月过手摊还本息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申万宏源-龙鼎金牛-555期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323</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交银国信·融诚1125号集合资金信托计划-淮阴产投</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304</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按季付息，到期一次还本</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投资信托计划产品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国投证券收益凭证-专享SY06号</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申万宏源-龙鼎定制-2330期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申万宏源-龙鼎定制-2317期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328</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25,000,000.00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银河金丰收益凭证508期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龙鼎金牛SMART3系列定制36期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中国银河证券股份有限公司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银河金丰收益凭证510期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r>
        <w:trPr>
          <w:trHeight w:val="270"/>
        </w:trPr>
        <w:tc>
          <w:tcPr>
            <w:tcW w:w="1401"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41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龙鼎金牛SMARTCHINA2系列定制12期</w:t>
            </w:r>
          </w:p>
        </w:tc>
        <w:tc>
          <w:tcPr>
            <w:tcW w:w="124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335</w:t>
            </w:r>
          </w:p>
        </w:tc>
        <w:tc>
          <w:tcPr>
            <w:tcW w:w="148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w:t>
            </w:r>
          </w:p>
        </w:tc>
        <w:tc>
          <w:tcPr>
            <w:tcW w:w="133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到期还本付息</w:t>
            </w:r>
          </w:p>
        </w:tc>
        <w:tc>
          <w:tcPr>
            <w:tcW w:w="1080"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投资券商收益凭证</w:t>
            </w:r>
          </w:p>
        </w:tc>
        <w:tc>
          <w:tcPr>
            <w:tcW w:w="855" w:type="dxa"/>
            <w:tcBorders>
              <w:top w:val="single" w:sz="4" w:space="0" w:color="auto"/>
              <w:left w:val="nil"/>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中国银河证券股份有限公司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2007-01-26</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10,137,258,757.00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证券经纪;证券投资咨询;与证券交易、证券投资活动有关的财务顾问;证券承销与保荐;证券自营;融资融券;证券投资基金代销;为期货公司提供中间介绍业务;代销金融产品;证券投资基金托管业务;保险兼业代理业务;销售贵金属制品。(企业依法自主选择经营项目,开展经营活动;依法须经批准的项目,经相关部门批准后依批准的内容开展经营活动;不得从事本市产业政策禁止和限制类项目的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国投证券股份有限公司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2006-08-22</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10,000,000,000.00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证券经纪;证券投资咨询;与证券交易、证券投资活动有关的财务顾问;证券承销与保荐;证券自营;融资融券;代销金融产品;证券投资基金销售;为期货公司提供中间介绍业务;证券投资基金托管;中国证监会批准的其它证券业务。</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江苏淮阴城市产业投资集团有限公司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2016-05-17</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5,000,000,000.00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旅游业务；餐饮服务；建设工程施工；建设工程设计；建筑物拆除作业（爆破作业除外）；房地产开发经营；水产养殖；自来水生产与供应；城市生活垃圾经营性服务；餐厨垃圾处理（依法须经批准的项目，经相关部门批准后方可开展经营活动，具体经营项目以审批结果为准）一般项目：创业投资（限投资未上市企业）；游览景区管理；名胜风景区管理；物业管理；组织文化艺术交流活动；会议及展览服务；市政设施管理；土地整治服务；建筑材料销售；技术推广服务；园林绿化工程施工；土石方工程施工；城市绿化管理；工程管理服务；房屋拆迁服务；农业专业及辅助性活动；土地使用权租赁；工程技术服务（规划管理、勘察、设计、监理除外）；互联网数据服务；休闲观光活动；污水处理及其再生利用；水污染治理；水环境污染防治服务；停车场服务；企业管理；租赁服务（不含许可类租赁服务）；建筑工程机械与设备租赁；殡葬服务；殡葬设施经营；殡仪用品销售；谷物种植；豆类种植；薯类种植；蔬菜种植；食用菌种植；花卉种植；水果种植；坚果种植；中草药种植；草种植（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申万宏源证券有限公司</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2015-01-16</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53,500,000,000.00</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许可项目:证券业务;证券投资咨询;证券投资基金销售服务;证券投资基金托管。(依法须经批准的项目,经相关部门批准后方可开展经营活动,具体经营项目以相关部门批准文件或许可证件为准)一般项目:证券公司为期货公司提供中间介绍业务。(除依法须经批准的项目外,凭营业执照依法自主开展经营活动)</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蚂蚁消费授信付款资产借款人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val="0"/>
        </w:trPr>
        <w:tc>
          <w:tcPr>
            <w:tcW w:w="1412"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抖音导流、信托自主审核通过的借款人</w:t>
            </w:r>
          </w:p>
        </w:tc>
        <w:tc>
          <w:tcPr>
            <w:tcW w:w="1399"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1263"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4746" w:type="dxa"/>
            <w:tcBorders>
              <w:top w:val="single" w:sz="4" w:space="0" w:color="auto"/>
              <w:left w:val="single" w:sz="4" w:space="0" w:color="auto"/>
              <w:bottom w:val="single" w:sz="4" w:space="0" w:color="auto"/>
              <w:right w:val="single" w:sz="4" w:space="0" w:color="auto"/>
            </w:tcBorders>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NETA20201230000002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江苏信托鼎泰1号集合资金信托计划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80,913,677.00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100,000,000.00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江苏信托安源4号集合资金信托计划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30,064,669.00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30,000,000.00</w:t>
            </w:r>
          </w:p>
        </w:tc>
      </w:tr>
      <w:tr>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江苏省国际信托有限责任公司</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ZZGL202504091189</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江苏信托安源5号集合资金信托计划</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255,715,304.00</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290,000,000.00</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二级交易</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苏银理财有限责任公司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441,417,155.80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396,500.24</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苏州银行股份有限公司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19,687.07</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139,939.01</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江苏仪征农村商业银行股份有限公司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39.90</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江苏苏州农村商业银行股份有限公司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917.62</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2,759,575,350.99</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2,712,488,574.98</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主要配置优质非标与中高等级债券，通过对宏观经济、市场利率、债券市场需求供给的变化、信用风险等进行充分研判，主动构建并调整债券资产投资组合，力争获取超额收益。三季度债券市场整体呈震荡上行趋势，产品整体表现较为稳健，后续有望继续提供长期稳健收益。同时，为了更准确地反应公允价值，本产品将交易所债券估值方法调整为中证估值，以更好地保护投资者权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本产品持仓优质非标资产与中高等级债券，抗市场波动能力较强，通过组合久期管理、流动性指标监测等多项措施持续加强久期与流动性管理，有效控制产品的流动性风险。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702"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704"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705"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707"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2025-10-21T11:01:15Z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