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08" w:rsidRPr="005A2B5B" w:rsidRDefault="00882B08" w:rsidP="005A2B5B">
      <w:pPr>
        <w:autoSpaceDE w:val="0"/>
        <w:autoSpaceDN w:val="0"/>
        <w:adjustRightInd w:val="0"/>
        <w:spacing w:line="400" w:lineRule="exact"/>
        <w:jc w:val="center"/>
        <w:rPr>
          <w:rFonts w:ascii="仿宋_GB2312" w:eastAsia="仿宋_GB2312" w:hAnsi="仿宋" w:cs="微软雅黑"/>
          <w:b/>
          <w:color w:val="000000" w:themeColor="text1"/>
          <w:kern w:val="0"/>
          <w:sz w:val="24"/>
          <w:szCs w:val="21"/>
        </w:rPr>
      </w:pPr>
      <w:r w:rsidRPr="005A2B5B">
        <w:rPr>
          <w:rFonts w:ascii="仿宋_GB2312" w:eastAsia="仿宋_GB2312" w:hAnsi="仿宋" w:cs="微软雅黑" w:hint="eastAsia"/>
          <w:b/>
          <w:color w:val="000000" w:themeColor="text1"/>
          <w:kern w:val="0"/>
          <w:sz w:val="24"/>
          <w:szCs w:val="21"/>
        </w:rPr>
        <w:t>杭州联合农村商业银行股份有限公司</w:t>
      </w:r>
    </w:p>
    <w:p w:rsidR="00882B08" w:rsidRPr="005A2B5B" w:rsidRDefault="0095061C" w:rsidP="005A2B5B">
      <w:pPr>
        <w:autoSpaceDE w:val="0"/>
        <w:autoSpaceDN w:val="0"/>
        <w:adjustRightInd w:val="0"/>
        <w:spacing w:line="400" w:lineRule="exact"/>
        <w:jc w:val="center"/>
        <w:rPr>
          <w:rFonts w:ascii="仿宋_GB2312" w:eastAsia="仿宋_GB2312" w:hAnsi="仿宋" w:cs="微软雅黑"/>
          <w:b/>
          <w:color w:val="000000" w:themeColor="text1"/>
          <w:kern w:val="0"/>
          <w:sz w:val="24"/>
          <w:szCs w:val="21"/>
        </w:rPr>
      </w:pPr>
      <w:r w:rsidRPr="005A2B5B">
        <w:rPr>
          <w:rFonts w:ascii="仿宋_GB2312" w:eastAsia="仿宋_GB2312" w:hAnsi="仿宋" w:cs="微软雅黑" w:hint="eastAsia"/>
          <w:b/>
          <w:color w:val="000000" w:themeColor="text1"/>
          <w:kern w:val="0"/>
          <w:sz w:val="24"/>
          <w:szCs w:val="21"/>
        </w:rPr>
        <w:t>“联盈宝”</w:t>
      </w:r>
      <w:r w:rsidR="00882B08" w:rsidRPr="005A2B5B">
        <w:rPr>
          <w:rFonts w:ascii="仿宋_GB2312" w:eastAsia="仿宋_GB2312" w:hAnsi="仿宋" w:cs="微软雅黑" w:hint="eastAsia"/>
          <w:b/>
          <w:color w:val="000000" w:themeColor="text1"/>
          <w:kern w:val="0"/>
          <w:sz w:val="24"/>
          <w:szCs w:val="21"/>
        </w:rPr>
        <w:t>系列</w:t>
      </w:r>
      <w:r w:rsidR="003636A3" w:rsidRPr="005A2B5B">
        <w:rPr>
          <w:rFonts w:ascii="仿宋_GB2312" w:eastAsia="仿宋_GB2312" w:hAnsi="仿宋" w:cs="微软雅黑" w:hint="eastAsia"/>
          <w:b/>
          <w:color w:val="000000" w:themeColor="text1"/>
          <w:kern w:val="0"/>
          <w:sz w:val="24"/>
          <w:szCs w:val="21"/>
        </w:rPr>
        <w:t>JG2</w:t>
      </w:r>
      <w:r w:rsidR="00E44EE3" w:rsidRPr="005A2B5B">
        <w:rPr>
          <w:rFonts w:ascii="仿宋_GB2312" w:eastAsia="仿宋_GB2312" w:hAnsi="仿宋" w:cs="微软雅黑" w:hint="eastAsia"/>
          <w:b/>
          <w:color w:val="000000" w:themeColor="text1"/>
          <w:kern w:val="0"/>
          <w:sz w:val="24"/>
          <w:szCs w:val="21"/>
        </w:rPr>
        <w:t>1</w:t>
      </w:r>
      <w:r w:rsidR="00E45F41">
        <w:rPr>
          <w:rFonts w:ascii="仿宋_GB2312" w:eastAsia="仿宋_GB2312" w:hAnsi="仿宋" w:cs="微软雅黑" w:hint="eastAsia"/>
          <w:b/>
          <w:color w:val="000000" w:themeColor="text1"/>
          <w:kern w:val="0"/>
          <w:sz w:val="24"/>
          <w:szCs w:val="21"/>
        </w:rPr>
        <w:t>0</w:t>
      </w:r>
      <w:r w:rsidR="00211483">
        <w:rPr>
          <w:rFonts w:ascii="仿宋_GB2312" w:eastAsia="仿宋_GB2312" w:hAnsi="仿宋" w:cs="微软雅黑" w:hint="eastAsia"/>
          <w:b/>
          <w:color w:val="000000" w:themeColor="text1"/>
          <w:kern w:val="0"/>
          <w:sz w:val="24"/>
          <w:szCs w:val="21"/>
        </w:rPr>
        <w:t>0</w:t>
      </w:r>
      <w:r w:rsidR="00A458F9">
        <w:rPr>
          <w:rFonts w:ascii="仿宋_GB2312" w:eastAsia="仿宋_GB2312" w:hAnsi="仿宋" w:cs="微软雅黑" w:hint="eastAsia"/>
          <w:b/>
          <w:color w:val="000000" w:themeColor="text1"/>
          <w:kern w:val="0"/>
          <w:sz w:val="24"/>
          <w:szCs w:val="21"/>
        </w:rPr>
        <w:t>59</w:t>
      </w:r>
      <w:r w:rsidR="00882B08" w:rsidRPr="005A2B5B">
        <w:rPr>
          <w:rFonts w:ascii="仿宋_GB2312" w:eastAsia="仿宋_GB2312" w:hAnsi="仿宋" w:cs="微软雅黑" w:hint="eastAsia"/>
          <w:b/>
          <w:color w:val="000000" w:themeColor="text1"/>
          <w:kern w:val="0"/>
          <w:sz w:val="24"/>
          <w:szCs w:val="21"/>
        </w:rPr>
        <w:t>期</w:t>
      </w:r>
      <w:r w:rsidR="00907DAA" w:rsidRPr="005A2B5B">
        <w:rPr>
          <w:rFonts w:ascii="仿宋_GB2312" w:eastAsia="仿宋_GB2312" w:hAnsi="仿宋" w:cs="微软雅黑" w:hint="eastAsia"/>
          <w:b/>
          <w:color w:val="000000" w:themeColor="text1"/>
          <w:kern w:val="0"/>
          <w:sz w:val="24"/>
          <w:szCs w:val="21"/>
        </w:rPr>
        <w:t>结构性存款</w:t>
      </w:r>
      <w:r w:rsidR="00882B08" w:rsidRPr="005A2B5B">
        <w:rPr>
          <w:rFonts w:ascii="仿宋_GB2312" w:eastAsia="仿宋_GB2312" w:hAnsi="仿宋" w:cs="微软雅黑" w:hint="eastAsia"/>
          <w:b/>
          <w:color w:val="000000" w:themeColor="text1"/>
          <w:kern w:val="0"/>
          <w:sz w:val="24"/>
          <w:szCs w:val="21"/>
        </w:rPr>
        <w:t>产品说明书</w:t>
      </w:r>
    </w:p>
    <w:p w:rsidR="00E70070" w:rsidRPr="005A2B5B" w:rsidRDefault="00E70070" w:rsidP="005A2B5B">
      <w:pPr>
        <w:adjustRightInd w:val="0"/>
        <w:snapToGrid w:val="0"/>
        <w:spacing w:line="400" w:lineRule="exact"/>
        <w:jc w:val="left"/>
        <w:rPr>
          <w:rFonts w:ascii="仿宋_GB2312" w:eastAsia="仿宋_GB2312"/>
          <w:color w:val="000000" w:themeColor="text1"/>
          <w:szCs w:val="21"/>
        </w:rPr>
      </w:pPr>
    </w:p>
    <w:p w:rsidR="00AF7546" w:rsidRPr="005A2B5B" w:rsidRDefault="00355B0B" w:rsidP="005A2B5B">
      <w:pPr>
        <w:adjustRightInd w:val="0"/>
        <w:snapToGrid w:val="0"/>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重要须知</w:t>
      </w:r>
      <w:r w:rsidR="001002EB" w:rsidRPr="005A2B5B">
        <w:rPr>
          <w:rFonts w:ascii="仿宋_GB2312" w:eastAsia="仿宋_GB2312" w:hAnsi="Arial Unicode MS" w:cs="STKaiti,Bold" w:hint="eastAsia"/>
          <w:b/>
          <w:bCs/>
          <w:color w:val="000000" w:themeColor="text1"/>
          <w:kern w:val="0"/>
          <w:szCs w:val="21"/>
        </w:rPr>
        <w:t>：</w:t>
      </w:r>
    </w:p>
    <w:p w:rsidR="00522460" w:rsidRPr="00337631" w:rsidRDefault="002D06FB" w:rsidP="0047322B">
      <w:pPr>
        <w:spacing w:line="400" w:lineRule="exact"/>
        <w:ind w:firstLineChars="200" w:firstLine="422"/>
        <w:jc w:val="left"/>
        <w:rPr>
          <w:rFonts w:ascii="仿宋_GB2312" w:eastAsia="仿宋_GB2312" w:hAnsi="Arial Unicode MS" w:cs="STKaiti,Bold"/>
          <w:b/>
          <w:bCs/>
          <w:color w:val="000000" w:themeColor="text1"/>
          <w:kern w:val="0"/>
          <w:szCs w:val="21"/>
        </w:rPr>
      </w:pPr>
      <w:r w:rsidRPr="003D7F09">
        <w:rPr>
          <w:rFonts w:ascii="仿宋_GB2312" w:eastAsia="仿宋_GB2312" w:hAnsi="Arial Unicode MS" w:cs="STKaiti,Bold" w:hint="eastAsia"/>
          <w:b/>
          <w:bCs/>
          <w:color w:val="000000" w:themeColor="text1"/>
          <w:kern w:val="0"/>
          <w:szCs w:val="21"/>
          <w:u w:val="single"/>
        </w:rPr>
        <w:t>结构性存款不同于一般性存款，具有投资风险</w:t>
      </w:r>
      <w:r w:rsidR="005132B6" w:rsidRPr="003D7F09">
        <w:rPr>
          <w:rFonts w:ascii="仿宋_GB2312" w:eastAsia="仿宋_GB2312" w:hAnsi="Arial Unicode MS" w:cs="STKaiti,Bold" w:hint="eastAsia"/>
          <w:b/>
          <w:bCs/>
          <w:color w:val="000000" w:themeColor="text1"/>
          <w:kern w:val="0"/>
          <w:szCs w:val="21"/>
          <w:u w:val="single"/>
        </w:rPr>
        <w:t>。</w:t>
      </w:r>
      <w:r w:rsidRPr="003D7F09">
        <w:rPr>
          <w:rFonts w:ascii="仿宋_GB2312" w:eastAsia="仿宋_GB2312" w:hAnsi="Arial Unicode MS" w:cs="STKaiti,Bold" w:hint="eastAsia"/>
          <w:b/>
          <w:bCs/>
          <w:color w:val="000000" w:themeColor="text1"/>
          <w:kern w:val="0"/>
          <w:szCs w:val="21"/>
          <w:u w:val="single"/>
        </w:rPr>
        <w:t>您</w:t>
      </w:r>
      <w:r w:rsidR="00AD319A" w:rsidRPr="003D7F09">
        <w:rPr>
          <w:rFonts w:ascii="仿宋_GB2312" w:eastAsia="仿宋_GB2312" w:hAnsi="Arial Unicode MS" w:cs="STKaiti,Bold" w:hint="eastAsia"/>
          <w:b/>
          <w:bCs/>
          <w:color w:val="000000" w:themeColor="text1"/>
          <w:kern w:val="0"/>
          <w:szCs w:val="21"/>
          <w:u w:val="single"/>
        </w:rPr>
        <w:t>应当充分认识投资风险，谨慎投资</w:t>
      </w:r>
      <w:r w:rsidR="0047322B" w:rsidRPr="003D7F09">
        <w:rPr>
          <w:rFonts w:ascii="仿宋_GB2312" w:eastAsia="仿宋_GB2312" w:hAnsi="Arial Unicode MS" w:cs="STKaiti,Bold" w:hint="eastAsia"/>
          <w:b/>
          <w:bCs/>
          <w:color w:val="000000" w:themeColor="text1"/>
          <w:kern w:val="0"/>
          <w:szCs w:val="21"/>
          <w:u w:val="single"/>
        </w:rPr>
        <w:t>！</w:t>
      </w:r>
      <w:r w:rsidR="00337631">
        <w:rPr>
          <w:rFonts w:ascii="仿宋_GB2312" w:eastAsia="仿宋_GB2312" w:hAnsi="Arial Unicode MS" w:cs="STKaiti,Bold" w:hint="eastAsia"/>
          <w:b/>
          <w:bCs/>
          <w:color w:val="000000" w:themeColor="text1"/>
          <w:kern w:val="0"/>
          <w:szCs w:val="21"/>
        </w:rPr>
        <w:t>具体风险</w:t>
      </w:r>
      <w:r w:rsidR="00AD319A" w:rsidRPr="00337631">
        <w:rPr>
          <w:rFonts w:ascii="仿宋_GB2312" w:eastAsia="仿宋_GB2312" w:hAnsi="Arial Unicode MS" w:cs="STKaiti,Bold" w:hint="eastAsia"/>
          <w:b/>
          <w:bCs/>
          <w:color w:val="000000" w:themeColor="text1"/>
          <w:kern w:val="0"/>
          <w:szCs w:val="21"/>
        </w:rPr>
        <w:t>见</w:t>
      </w:r>
      <w:r w:rsidR="004959A4">
        <w:rPr>
          <w:rFonts w:ascii="仿宋_GB2312" w:eastAsia="仿宋_GB2312" w:hAnsi="Arial Unicode MS" w:cs="STKaiti,Bold" w:hint="eastAsia"/>
          <w:b/>
          <w:bCs/>
          <w:color w:val="000000" w:themeColor="text1"/>
          <w:kern w:val="0"/>
          <w:szCs w:val="21"/>
        </w:rPr>
        <w:t>本产品</w:t>
      </w:r>
      <w:r w:rsidR="00337631">
        <w:rPr>
          <w:rFonts w:ascii="仿宋_GB2312" w:eastAsia="仿宋_GB2312" w:hAnsi="Arial Unicode MS" w:cs="STKaiti,Bold" w:hint="eastAsia"/>
          <w:b/>
          <w:bCs/>
          <w:color w:val="000000" w:themeColor="text1"/>
          <w:kern w:val="0"/>
          <w:szCs w:val="21"/>
        </w:rPr>
        <w:t>《</w:t>
      </w:r>
      <w:r w:rsidR="00AD319A" w:rsidRPr="00337631">
        <w:rPr>
          <w:rFonts w:ascii="仿宋_GB2312" w:eastAsia="仿宋_GB2312" w:hAnsi="Arial Unicode MS" w:cs="STKaiti,Bold" w:hint="eastAsia"/>
          <w:b/>
          <w:bCs/>
          <w:color w:val="000000" w:themeColor="text1"/>
          <w:kern w:val="0"/>
          <w:szCs w:val="21"/>
        </w:rPr>
        <w:t>风险揭示书</w:t>
      </w:r>
      <w:r w:rsidR="00337631">
        <w:rPr>
          <w:rFonts w:ascii="仿宋_GB2312" w:eastAsia="仿宋_GB2312" w:hAnsi="Arial Unicode MS" w:cs="STKaiti,Bold" w:hint="eastAsia"/>
          <w:b/>
          <w:bCs/>
          <w:color w:val="000000" w:themeColor="text1"/>
          <w:kern w:val="0"/>
          <w:szCs w:val="21"/>
        </w:rPr>
        <w:t>》。</w:t>
      </w:r>
    </w:p>
    <w:p w:rsidR="00AD319A" w:rsidRPr="00522460" w:rsidRDefault="00522460" w:rsidP="0047322B">
      <w:pPr>
        <w:spacing w:line="400" w:lineRule="exact"/>
        <w:ind w:firstLineChars="200" w:firstLine="420"/>
        <w:jc w:val="left"/>
        <w:rPr>
          <w:rFonts w:ascii="仿宋_GB2312" w:eastAsia="仿宋_GB2312" w:hAnsi="Arial Unicode MS" w:cs="STKaiti,Bold"/>
          <w:bCs/>
          <w:color w:val="000000" w:themeColor="text1"/>
          <w:kern w:val="0"/>
          <w:szCs w:val="21"/>
        </w:rPr>
      </w:pPr>
      <w:r w:rsidRPr="00522460">
        <w:rPr>
          <w:rFonts w:ascii="仿宋_GB2312" w:eastAsia="仿宋_GB2312" w:hAnsi="Arial Unicode MS" w:cs="STKaiti,Bold" w:hint="eastAsia"/>
          <w:bCs/>
          <w:color w:val="000000" w:themeColor="text1"/>
          <w:kern w:val="0"/>
          <w:szCs w:val="21"/>
        </w:rPr>
        <w:t>除本说明书明确规定的收益及收益分配方式外，任何预期收益、预期</w:t>
      </w:r>
      <w:r w:rsidR="00355B0B" w:rsidRPr="00522460">
        <w:rPr>
          <w:rFonts w:ascii="仿宋_GB2312" w:eastAsia="仿宋_GB2312" w:hAnsi="Arial Unicode MS" w:cs="STKaiti,Bold" w:hint="eastAsia"/>
          <w:bCs/>
          <w:color w:val="000000" w:themeColor="text1"/>
          <w:kern w:val="0"/>
          <w:szCs w:val="21"/>
        </w:rPr>
        <w:t>收益率、测算收益或类似表述均属不具有法律约束力的用语，不代表</w:t>
      </w:r>
      <w:r w:rsidR="003636A3" w:rsidRPr="00522460">
        <w:rPr>
          <w:rFonts w:ascii="仿宋_GB2312" w:eastAsia="仿宋_GB2312" w:hAnsi="Arial Unicode MS" w:cs="STKaiti,Bold" w:hint="eastAsia"/>
          <w:bCs/>
          <w:color w:val="000000" w:themeColor="text1"/>
          <w:kern w:val="0"/>
          <w:szCs w:val="21"/>
        </w:rPr>
        <w:t>投资者</w:t>
      </w:r>
      <w:r w:rsidR="00355B0B" w:rsidRPr="00522460">
        <w:rPr>
          <w:rFonts w:ascii="仿宋_GB2312" w:eastAsia="仿宋_GB2312" w:hAnsi="Arial Unicode MS" w:cs="STKaiti,Bold" w:hint="eastAsia"/>
          <w:bCs/>
          <w:color w:val="000000" w:themeColor="text1"/>
          <w:kern w:val="0"/>
          <w:szCs w:val="21"/>
        </w:rPr>
        <w:t>可能获得的实际收益，亦不构成杭州联合银行对本</w:t>
      </w:r>
      <w:r w:rsidRPr="00522460">
        <w:rPr>
          <w:rFonts w:ascii="仿宋_GB2312" w:eastAsia="仿宋_GB2312" w:hAnsi="Arial Unicode MS" w:cs="STKaiti,Bold" w:hint="eastAsia"/>
          <w:bCs/>
          <w:color w:val="000000" w:themeColor="text1"/>
          <w:kern w:val="0"/>
          <w:szCs w:val="21"/>
        </w:rPr>
        <w:t>产品</w:t>
      </w:r>
      <w:r w:rsidR="00355B0B" w:rsidRPr="00522460">
        <w:rPr>
          <w:rFonts w:ascii="仿宋_GB2312" w:eastAsia="仿宋_GB2312" w:hAnsi="Arial Unicode MS" w:cs="STKaiti,Bold" w:hint="eastAsia"/>
          <w:bCs/>
          <w:color w:val="000000" w:themeColor="text1"/>
          <w:kern w:val="0"/>
          <w:szCs w:val="21"/>
        </w:rPr>
        <w:t>的任何收益承诺。</w:t>
      </w:r>
    </w:p>
    <w:p w:rsidR="001A7393" w:rsidRPr="0047322B" w:rsidRDefault="00355B0B" w:rsidP="0047322B">
      <w:pPr>
        <w:spacing w:line="400" w:lineRule="exact"/>
        <w:ind w:firstLineChars="196" w:firstLine="412"/>
        <w:rPr>
          <w:sz w:val="32"/>
          <w:szCs w:val="44"/>
        </w:rPr>
      </w:pPr>
      <w:r w:rsidRPr="0047322B">
        <w:rPr>
          <w:rFonts w:ascii="仿宋_GB2312" w:eastAsia="仿宋_GB2312" w:hAnsi="Arial Unicode MS" w:cs="STKaiti,Bold" w:hint="eastAsia"/>
          <w:bCs/>
          <w:color w:val="000000" w:themeColor="text1"/>
          <w:kern w:val="0"/>
          <w:szCs w:val="21"/>
        </w:rPr>
        <w:t>投资者在杭州联合银行签约认购本产品前，应当仔细阅读本说明书及其他相关销售文件的全部内容，同时向杭州联合银行了解本产品的具体信息，请</w:t>
      </w:r>
      <w:r w:rsidR="003636A3" w:rsidRPr="0047322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确保完全了解本</w:t>
      </w:r>
      <w:r w:rsidR="00870A0C">
        <w:rPr>
          <w:rFonts w:ascii="仿宋_GB2312" w:eastAsia="仿宋_GB2312" w:hAnsi="Arial Unicode MS" w:cs="STKaiti,Bold" w:hint="eastAsia"/>
          <w:bCs/>
          <w:color w:val="000000" w:themeColor="text1"/>
          <w:kern w:val="0"/>
          <w:szCs w:val="21"/>
        </w:rPr>
        <w:t>产品</w:t>
      </w:r>
      <w:r w:rsidRPr="0047322B">
        <w:rPr>
          <w:rFonts w:ascii="仿宋_GB2312" w:eastAsia="仿宋_GB2312" w:hAnsi="Arial Unicode MS" w:cs="STKaiti,Bold" w:hint="eastAsia"/>
          <w:bCs/>
          <w:color w:val="000000" w:themeColor="text1"/>
          <w:kern w:val="0"/>
          <w:szCs w:val="21"/>
        </w:rPr>
        <w:t>的性质、所涉及的风险以及自身的风险承受能力，在慎重考虑后独立做出认购决定。本</w:t>
      </w:r>
      <w:r w:rsidR="00753351">
        <w:rPr>
          <w:rFonts w:ascii="仿宋_GB2312" w:eastAsia="仿宋_GB2312" w:hAnsi="Arial Unicode MS" w:cs="STKaiti,Bold" w:hint="eastAsia"/>
          <w:bCs/>
          <w:color w:val="000000" w:themeColor="text1"/>
          <w:kern w:val="0"/>
          <w:szCs w:val="21"/>
        </w:rPr>
        <w:t>《产品</w:t>
      </w:r>
      <w:r w:rsidRPr="0047322B">
        <w:rPr>
          <w:rFonts w:ascii="仿宋_GB2312" w:eastAsia="仿宋_GB2312" w:hAnsi="Arial Unicode MS" w:cs="STKaiti,Bold" w:hint="eastAsia"/>
          <w:bCs/>
          <w:color w:val="000000" w:themeColor="text1"/>
          <w:kern w:val="0"/>
          <w:szCs w:val="21"/>
        </w:rPr>
        <w:t>说明书</w:t>
      </w:r>
      <w:r w:rsidR="00753351">
        <w:rPr>
          <w:rFonts w:ascii="仿宋_GB2312" w:eastAsia="仿宋_GB2312" w:hAnsi="Arial Unicode MS" w:cs="STKaiti,Bold" w:hint="eastAsia"/>
          <w:bCs/>
          <w:color w:val="000000" w:themeColor="text1"/>
          <w:kern w:val="0"/>
          <w:szCs w:val="21"/>
        </w:rPr>
        <w:t>》及配套</w:t>
      </w:r>
      <w:r w:rsidRPr="0047322B">
        <w:rPr>
          <w:rFonts w:ascii="仿宋_GB2312" w:eastAsia="仿宋_GB2312" w:hAnsi="Arial Unicode MS" w:cs="STKaiti,Bold" w:hint="eastAsia"/>
          <w:bCs/>
          <w:color w:val="000000" w:themeColor="text1"/>
          <w:kern w:val="0"/>
          <w:szCs w:val="21"/>
        </w:rPr>
        <w:t>的《</w:t>
      </w:r>
      <w:r w:rsidR="0047322B" w:rsidRPr="0047322B">
        <w:rPr>
          <w:rFonts w:ascii="仿宋_GB2312" w:eastAsia="仿宋_GB2312" w:hAnsi="Arial Unicode MS" w:cs="STKaiti,Bold" w:hint="eastAsia"/>
          <w:bCs/>
          <w:color w:val="000000" w:themeColor="text1"/>
          <w:kern w:val="0"/>
          <w:szCs w:val="21"/>
        </w:rPr>
        <w:t>产品协议书</w:t>
      </w:r>
      <w:r w:rsidRPr="0047322B">
        <w:rPr>
          <w:rFonts w:ascii="仿宋_GB2312" w:eastAsia="仿宋_GB2312" w:hAnsi="Arial Unicode MS" w:cs="STKaiti,Bold" w:hint="eastAsia"/>
          <w:bCs/>
          <w:color w:val="000000" w:themeColor="text1"/>
          <w:kern w:val="0"/>
          <w:szCs w:val="21"/>
        </w:rPr>
        <w:t>》、《风险揭示书》</w:t>
      </w:r>
      <w:r w:rsidR="00E9448A" w:rsidRPr="0047322B">
        <w:rPr>
          <w:rFonts w:ascii="仿宋_GB2312" w:eastAsia="仿宋_GB2312" w:hAnsi="Arial Unicode MS" w:cs="STKaiti,Bold" w:hint="eastAsia"/>
          <w:bCs/>
          <w:color w:val="000000" w:themeColor="text1"/>
          <w:kern w:val="0"/>
          <w:szCs w:val="21"/>
        </w:rPr>
        <w:t>、《</w:t>
      </w:r>
      <w:r w:rsidR="006B14BA" w:rsidRPr="0047322B">
        <w:rPr>
          <w:rFonts w:ascii="仿宋_GB2312" w:eastAsia="仿宋_GB2312" w:hAnsi="Arial Unicode MS" w:cs="STKaiti,Bold"/>
          <w:bCs/>
          <w:color w:val="000000" w:themeColor="text1"/>
          <w:kern w:val="0"/>
          <w:szCs w:val="21"/>
        </w:rPr>
        <w:t>投资</w:t>
      </w:r>
      <w:r w:rsidR="006B14BA" w:rsidRPr="0047322B">
        <w:rPr>
          <w:rFonts w:ascii="仿宋_GB2312" w:eastAsia="仿宋_GB2312" w:hAnsi="Arial Unicode MS" w:cs="STKaiti,Bold" w:hint="eastAsia"/>
          <w:bCs/>
          <w:color w:val="000000" w:themeColor="text1"/>
          <w:kern w:val="0"/>
          <w:szCs w:val="21"/>
        </w:rPr>
        <w:t>者</w:t>
      </w:r>
      <w:r w:rsidR="006B14BA" w:rsidRPr="0047322B">
        <w:rPr>
          <w:rFonts w:ascii="仿宋_GB2312" w:eastAsia="仿宋_GB2312" w:hAnsi="Arial Unicode MS" w:cs="STKaiti,Bold"/>
          <w:bCs/>
          <w:color w:val="000000" w:themeColor="text1"/>
          <w:kern w:val="0"/>
          <w:szCs w:val="21"/>
        </w:rPr>
        <w:t>权益须知</w:t>
      </w:r>
      <w:r w:rsidR="00E9448A" w:rsidRPr="0047322B">
        <w:rPr>
          <w:rFonts w:ascii="仿宋_GB2312" w:eastAsia="仿宋_GB2312" w:hAnsi="Arial Unicode MS" w:cs="STKaiti,Bold" w:hint="eastAsia"/>
          <w:bCs/>
          <w:color w:val="000000" w:themeColor="text1"/>
          <w:kern w:val="0"/>
          <w:szCs w:val="21"/>
        </w:rPr>
        <w:t>》</w:t>
      </w:r>
      <w:r w:rsidRPr="0047322B">
        <w:rPr>
          <w:rFonts w:ascii="仿宋_GB2312" w:eastAsia="仿宋_GB2312" w:hAnsi="Arial Unicode MS" w:cs="STKaiti,Bold" w:hint="eastAsia"/>
          <w:bCs/>
          <w:color w:val="000000" w:themeColor="text1"/>
          <w:kern w:val="0"/>
          <w:szCs w:val="21"/>
        </w:rPr>
        <w:t>共同构成</w:t>
      </w:r>
      <w:r w:rsidR="006B14BA" w:rsidRPr="0047322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与杭州联合银行之间的结构性存款交易合同。投资者在认购本产品后，应随时关注本产品的信息披露情况，及时获取相关信息</w:t>
      </w:r>
      <w:r w:rsidR="00FA043F" w:rsidRPr="0047322B">
        <w:rPr>
          <w:rFonts w:ascii="仿宋_GB2312" w:eastAsia="仿宋_GB2312" w:hAnsi="Arial Unicode MS" w:cs="STKaiti,Bold" w:hint="eastAsia"/>
          <w:bCs/>
          <w:color w:val="000000" w:themeColor="text1"/>
          <w:kern w:val="0"/>
          <w:szCs w:val="21"/>
        </w:rPr>
        <w:t>，</w:t>
      </w:r>
      <w:r w:rsidR="006665B7">
        <w:rPr>
          <w:rFonts w:ascii="仿宋_GB2312" w:eastAsia="仿宋_GB2312" w:hAnsi="Arial Unicode MS" w:cs="STKaiti,Bold" w:hint="eastAsia"/>
          <w:bCs/>
          <w:color w:val="000000" w:themeColor="text1"/>
          <w:kern w:val="0"/>
          <w:szCs w:val="21"/>
        </w:rPr>
        <w:t>杭州联合银行</w:t>
      </w:r>
      <w:r w:rsidR="00FA043F" w:rsidRPr="0047322B">
        <w:rPr>
          <w:rFonts w:ascii="仿宋_GB2312" w:eastAsia="仿宋_GB2312" w:hAnsi="Arial Unicode MS" w:cs="STKaiti,Bold" w:hint="eastAsia"/>
          <w:bCs/>
          <w:color w:val="000000" w:themeColor="text1"/>
          <w:kern w:val="0"/>
          <w:szCs w:val="21"/>
        </w:rPr>
        <w:t>通过</w:t>
      </w:r>
      <w:r w:rsidR="00507B70" w:rsidRPr="0047322B">
        <w:rPr>
          <w:rFonts w:ascii="仿宋_GB2312" w:eastAsia="仿宋_GB2312" w:hAnsi="Arial Unicode MS" w:cs="STKaiti,Bold" w:hint="eastAsia"/>
          <w:bCs/>
          <w:color w:val="000000" w:themeColor="text1"/>
          <w:kern w:val="0"/>
          <w:szCs w:val="21"/>
        </w:rPr>
        <w:t>官网</w:t>
      </w:r>
      <w:r w:rsidR="00870A0C" w:rsidRPr="005A2B5B">
        <w:rPr>
          <w:rFonts w:ascii="仿宋_GB2312" w:eastAsia="仿宋_GB2312" w:hAnsi="Arial Unicode MS" w:cs="STKaiti,Bold" w:hint="eastAsia"/>
          <w:bCs/>
          <w:color w:val="000000" w:themeColor="text1"/>
          <w:kern w:val="0"/>
          <w:szCs w:val="21"/>
        </w:rPr>
        <w:t>（www.urcb.com</w:t>
      </w:r>
      <w:r w:rsidR="00870A0C">
        <w:rPr>
          <w:rFonts w:ascii="仿宋_GB2312" w:eastAsia="仿宋_GB2312" w:hAnsi="Arial Unicode MS" w:cs="STKaiti,Bold" w:hint="eastAsia"/>
          <w:bCs/>
          <w:color w:val="000000" w:themeColor="text1"/>
          <w:kern w:val="0"/>
          <w:szCs w:val="21"/>
        </w:rPr>
        <w:t>）</w:t>
      </w:r>
      <w:r w:rsidR="00FA043F" w:rsidRPr="0047322B">
        <w:rPr>
          <w:rFonts w:ascii="仿宋_GB2312" w:eastAsia="仿宋_GB2312" w:hAnsi="Arial Unicode MS" w:cs="STKaiti,Bold" w:hint="eastAsia"/>
          <w:bCs/>
          <w:color w:val="000000" w:themeColor="text1"/>
          <w:kern w:val="0"/>
          <w:szCs w:val="21"/>
        </w:rPr>
        <w:t>进行信息披露</w:t>
      </w:r>
      <w:r w:rsidRPr="0047322B">
        <w:rPr>
          <w:rFonts w:ascii="仿宋_GB2312" w:eastAsia="仿宋_GB2312" w:hAnsi="Arial Unicode MS" w:cs="STKaiti,Bold" w:hint="eastAsia"/>
          <w:bCs/>
          <w:color w:val="000000" w:themeColor="text1"/>
          <w:kern w:val="0"/>
          <w:szCs w:val="21"/>
        </w:rPr>
        <w:t>。如对本产品有任何疑问、异议或意见，请联系银行</w:t>
      </w:r>
      <w:r w:rsidR="003266B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经理或反馈至</w:t>
      </w:r>
      <w:r w:rsidR="00870A0C">
        <w:rPr>
          <w:rFonts w:ascii="仿宋_GB2312" w:eastAsia="仿宋_GB2312" w:hAnsi="Arial Unicode MS" w:cs="STKaiti,Bold" w:hint="eastAsia"/>
          <w:bCs/>
          <w:color w:val="000000" w:themeColor="text1"/>
          <w:kern w:val="0"/>
          <w:szCs w:val="21"/>
        </w:rPr>
        <w:t>本行各</w:t>
      </w:r>
      <w:r w:rsidRPr="0047322B">
        <w:rPr>
          <w:rFonts w:ascii="仿宋_GB2312" w:eastAsia="仿宋_GB2312" w:hAnsi="Arial Unicode MS" w:cs="STKaiti,Bold" w:hint="eastAsia"/>
          <w:bCs/>
          <w:color w:val="000000" w:themeColor="text1"/>
          <w:kern w:val="0"/>
          <w:szCs w:val="21"/>
        </w:rPr>
        <w:t>营业网点，也可致电</w:t>
      </w:r>
      <w:r w:rsidR="003266B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服务热线（96596）。</w:t>
      </w:r>
    </w:p>
    <w:p w:rsidR="00355B0B" w:rsidRPr="0047322B" w:rsidRDefault="004A77A8" w:rsidP="0047322B">
      <w:pPr>
        <w:spacing w:line="400" w:lineRule="exact"/>
        <w:ind w:firstLineChars="200" w:firstLine="420"/>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bCs/>
          <w:noProof/>
          <w:color w:val="000000" w:themeColor="text1"/>
          <w:kern w:val="0"/>
          <w:szCs w:val="21"/>
        </w:rPr>
        <w:pict>
          <v:rect id="Rectangle 13" o:spid="_x0000_s1046" style="position:absolute;left:0;text-align:left;margin-left:126pt;margin-top:71.2pt;width:171pt;height:23.3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style="mso-next-textbox:#Rectangle 13">
              <w:txbxContent>
                <w:p w:rsidR="005A2B5B" w:rsidRDefault="005A2B5B" w:rsidP="005A2B5B">
                  <w:pPr>
                    <w:jc w:val="center"/>
                    <w:rPr>
                      <w:sz w:val="18"/>
                      <w:szCs w:val="18"/>
                    </w:rPr>
                  </w:pPr>
                  <w:r>
                    <w:rPr>
                      <w:rFonts w:hint="eastAsia"/>
                      <w:sz w:val="18"/>
                      <w:szCs w:val="18"/>
                    </w:rPr>
                    <w:t>风险程度</w:t>
                  </w:r>
                </w:p>
                <w:p w:rsidR="005A2B5B" w:rsidRDefault="005A2B5B" w:rsidP="005A2B5B"/>
              </w:txbxContent>
            </v:textbox>
          </v:rect>
        </w:pict>
      </w:r>
      <w:r w:rsidR="00355B0B" w:rsidRPr="0047322B">
        <w:rPr>
          <w:rFonts w:ascii="仿宋_GB2312" w:eastAsia="仿宋_GB2312" w:hAnsi="Arial Unicode MS" w:cs="STKaiti,Bold" w:hint="eastAsia"/>
          <w:bCs/>
          <w:color w:val="000000" w:themeColor="text1"/>
          <w:kern w:val="0"/>
          <w:szCs w:val="21"/>
        </w:rPr>
        <w:t>在本产品存续期内，如因国家法律法规、监管规定发生变化，或是出于维持本产品正常运营的需要，在不损害</w:t>
      </w:r>
      <w:r w:rsidR="003636A3" w:rsidRPr="0047322B">
        <w:rPr>
          <w:rFonts w:ascii="仿宋_GB2312" w:eastAsia="仿宋_GB2312" w:hAnsi="Arial Unicode MS" w:cs="STKaiti,Bold" w:hint="eastAsia"/>
          <w:bCs/>
          <w:color w:val="000000" w:themeColor="text1"/>
          <w:kern w:val="0"/>
          <w:szCs w:val="21"/>
        </w:rPr>
        <w:t>投资者</w:t>
      </w:r>
      <w:r w:rsidR="00355B0B" w:rsidRPr="0047322B">
        <w:rPr>
          <w:rFonts w:ascii="仿宋_GB2312" w:eastAsia="仿宋_GB2312" w:hAnsi="Arial Unicode MS" w:cs="STKaiti,Bold" w:hint="eastAsia"/>
          <w:bCs/>
          <w:color w:val="000000" w:themeColor="text1"/>
          <w:kern w:val="0"/>
          <w:szCs w:val="21"/>
        </w:rPr>
        <w:t>利益的前提下，杭州联合银行有权对本说明书进行修订。</w:t>
      </w:r>
    </w:p>
    <w:p w:rsidR="00323B42" w:rsidRPr="0047322B" w:rsidRDefault="00355B0B" w:rsidP="0047322B">
      <w:pPr>
        <w:spacing w:line="400" w:lineRule="exact"/>
        <w:ind w:firstLineChars="200" w:firstLine="420"/>
        <w:jc w:val="left"/>
        <w:rPr>
          <w:rFonts w:ascii="仿宋_GB2312" w:eastAsia="仿宋_GB2312" w:hAnsi="Arial Unicode MS" w:cs="STKaiti,Bold"/>
          <w:bCs/>
          <w:color w:val="000000" w:themeColor="text1"/>
          <w:kern w:val="0"/>
          <w:szCs w:val="21"/>
        </w:rPr>
      </w:pPr>
      <w:r w:rsidRPr="0047322B">
        <w:rPr>
          <w:rFonts w:ascii="仿宋_GB2312" w:eastAsia="仿宋_GB2312" w:hAnsi="Arial Unicode MS" w:cs="STKaiti,Bold" w:hint="eastAsia"/>
          <w:bCs/>
          <w:color w:val="000000" w:themeColor="text1"/>
          <w:kern w:val="0"/>
          <w:szCs w:val="21"/>
        </w:rPr>
        <w:t>本产品说明书解释权归属杭州联合银行所有。</w:t>
      </w:r>
    </w:p>
    <w:p w:rsidR="00323B42" w:rsidRDefault="00323B42" w:rsidP="0047322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2"/>
        <w:jc w:val="left"/>
        <w:rPr>
          <w:b/>
        </w:rPr>
      </w:pPr>
    </w:p>
    <w:p w:rsidR="005A2B5B" w:rsidRDefault="005A2B5B" w:rsidP="005A2B5B">
      <w:pPr>
        <w:spacing w:line="400" w:lineRule="exact"/>
        <w:ind w:firstLineChars="200" w:firstLine="422"/>
        <w:jc w:val="left"/>
        <w:rPr>
          <w:b/>
        </w:rPr>
      </w:pPr>
    </w:p>
    <w:p w:rsidR="005A2B5B" w:rsidRDefault="005A2B5B" w:rsidP="005A2B5B">
      <w:pPr>
        <w:spacing w:line="400" w:lineRule="exact"/>
        <w:ind w:firstLineChars="200" w:firstLine="422"/>
        <w:jc w:val="left"/>
        <w:rPr>
          <w:b/>
        </w:rPr>
      </w:pPr>
    </w:p>
    <w:p w:rsidR="005A2B5B" w:rsidRPr="005A2B5B" w:rsidRDefault="004A77A8" w:rsidP="00337631">
      <w:pPr>
        <w:spacing w:line="400" w:lineRule="exact"/>
        <w:ind w:firstLineChars="200" w:firstLine="420"/>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bCs/>
          <w:color w:val="000000" w:themeColor="text1"/>
          <w:kern w:val="0"/>
          <w:szCs w:val="21"/>
        </w:rPr>
      </w:r>
      <w:r>
        <w:rPr>
          <w:rFonts w:ascii="仿宋_GB2312" w:eastAsia="仿宋_GB2312" w:hAnsi="Arial Unicode MS" w:cs="STKaiti,Bold"/>
          <w:bCs/>
          <w:color w:val="000000" w:themeColor="text1"/>
          <w:kern w:val="0"/>
          <w:szCs w:val="21"/>
        </w:rPr>
        <w:pict>
          <v:group id="画布 4" o:spid="_x0000_s1056" editas="canvas" style="width:404.25pt;height:194.95pt;mso-position-horizontal-relative:char;mso-position-vertical-relative:line" coordsize="51339,24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51339;height:24758;visibility:visible" o:preferrelative="f">
              <v:fill o:detectmouseclick="t"/>
              <v:path o:connecttype="none"/>
            </v:shape>
            <v:rect id="Rectangle 6" o:spid="_x0000_s1058" style="position:absolute;left:9143;top:16841;width:4571;height:2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ZsAA&#10;AADaAAAADwAAAGRycy9kb3ducmV2LnhtbERPTYvCMBC9L/gfwgjeNFVQajWK6CruRbSK56EZ22Iz&#10;KU1W67/fCMKehsf7nPmyNZV4UONKywqGgwgEcWZ1ybmCy3nbj0E4j6yxskwKXuRgueh8zTHR9skn&#10;eqQ+FyGEXYIKCu/rREqXFWTQDWxNHLibbQz6AJtc6gafIdxUchRFE2mw5NBQYE3rgrJ7+msU7C71&#10;zz1dv0bx4Tj+TuPNdXo7XJXqddvVDISn1v+LP+69DvPh/cr7ys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wZsAAAADaAAAADwAAAAAAAAAAAAAAAACYAgAAZHJzL2Rvd25y&#10;ZXYueG1sUEsFBgAAAAAEAAQA9QAAAIUDAAAAAA==&#10;" fillcolor="yellow">
              <v:textbox style="mso-next-textbox:#Rectangle 6">
                <w:txbxContent>
                  <w:p w:rsidR="005A2B5B" w:rsidRDefault="005A2B5B" w:rsidP="005A2B5B">
                    <w:pPr>
                      <w:rPr>
                        <w:b/>
                      </w:rPr>
                    </w:pPr>
                    <w:r>
                      <w:rPr>
                        <w:b/>
                      </w:rPr>
                      <w:t>PR1</w:t>
                    </w:r>
                  </w:p>
                </w:txbxContent>
              </v:textbox>
            </v:rect>
            <v:rect id="Rectangle 7" o:spid="_x0000_s1059" style="position:absolute;left:13714;top:13873;width:4572;height:2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JfLwA&#10;AADaAAAADwAAAGRycy9kb3ducmV2LnhtbESPwQrCMBBE74L/EFbwpqkeRGqjiCB4tQribWnWttps&#10;ShJr/XsjCB6HmTfDZJveNKIj52vLCmbTBARxYXXNpYLzaT9ZgvABWWNjmRS8ycNmPRxkmGr74iN1&#10;eShFLGGfooIqhDaV0hcVGfRT2xJH72adwRClK6V2+IrlppHzJFlIgzXHhQpb2lVUPPKnUbBbdLP7&#10;81LI+yO/0sXUWxcppcajfrsCEagP//CPPmgFc/heiTd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pQl8vAAAANoAAAAPAAAAAAAAAAAAAAAAAJgCAABkcnMvZG93bnJldi54&#10;bWxQSwUGAAAAAAQABAD1AAAAgQMAAAAA&#10;" filled="f" fillcolor="yellow">
              <v:textbox style="mso-next-textbox:#Rectangle 7">
                <w:txbxContent>
                  <w:p w:rsidR="005A2B5B" w:rsidRDefault="005A2B5B" w:rsidP="005A2B5B">
                    <w:pPr>
                      <w:rPr>
                        <w:b/>
                      </w:rPr>
                    </w:pPr>
                    <w:r>
                      <w:rPr>
                        <w:b/>
                      </w:rPr>
                      <w:t>PR2</w:t>
                    </w:r>
                  </w:p>
                  <w:p w:rsidR="005A2B5B" w:rsidRDefault="005A2B5B" w:rsidP="005A2B5B"/>
                </w:txbxContent>
              </v:textbox>
            </v:rect>
            <v:rect id="Rectangle 8" o:spid="_x0000_s1060" style="position:absolute;left:18286;top:10899;width:4572;height:2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8">
                <w:txbxContent>
                  <w:p w:rsidR="005A2B5B" w:rsidRDefault="005A2B5B" w:rsidP="005A2B5B">
                    <w:pPr>
                      <w:rPr>
                        <w:b/>
                      </w:rPr>
                    </w:pPr>
                    <w:r>
                      <w:rPr>
                        <w:b/>
                      </w:rPr>
                      <w:t>PR3</w:t>
                    </w:r>
                  </w:p>
                </w:txbxContent>
              </v:textbox>
            </v:rect>
            <v:rect id="Rectangle 9" o:spid="_x0000_s1061" style="position:absolute;left:22858;top:7924;width:4579;height:2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9">
                <w:txbxContent>
                  <w:p w:rsidR="005A2B5B" w:rsidRDefault="005A2B5B" w:rsidP="005A2B5B">
                    <w:pPr>
                      <w:rPr>
                        <w:b/>
                      </w:rPr>
                    </w:pPr>
                    <w:r>
                      <w:rPr>
                        <w:b/>
                      </w:rPr>
                      <w:t>PR4</w:t>
                    </w:r>
                  </w:p>
                  <w:p w:rsidR="005A2B5B" w:rsidRDefault="005A2B5B" w:rsidP="005A2B5B"/>
                </w:txbxContent>
              </v:textbox>
            </v:rect>
            <v:rect id="Rectangle 10" o:spid="_x0000_s1062" style="position:absolute;left:27437;top:4957;width:4571;height:29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10">
                <w:txbxContent>
                  <w:p w:rsidR="005A2B5B" w:rsidRDefault="005A2B5B" w:rsidP="005A2B5B">
                    <w:pPr>
                      <w:rPr>
                        <w:b/>
                      </w:rPr>
                    </w:pPr>
                    <w:r>
                      <w:rPr>
                        <w:b/>
                      </w:rPr>
                      <w:t>PR54</w:t>
                    </w:r>
                  </w:p>
                </w:txbxContent>
              </v:textbox>
            </v:rect>
            <v:shapetype id="_x0000_t32" coordsize="21600,21600" o:spt="32" o:oned="t" path="m,l21600,21600e" filled="f">
              <v:path arrowok="t" fillok="f" o:connecttype="none"/>
              <o:lock v:ext="edit" shapetype="t"/>
            </v:shapetype>
            <v:shape id="AutoShape 11" o:spid="_x0000_s1063" type="#_x0000_t32" style="position:absolute;left:4571;top:21798;width:42292;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2" o:spid="_x0000_s1064" type="#_x0000_t32" style="position:absolute;left:6857;width:7;height:237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w10:wrap type="none"/>
            <w10:anchorlock/>
          </v:group>
        </w:pict>
      </w:r>
    </w:p>
    <w:p w:rsidR="001A19C1" w:rsidRDefault="00E03936" w:rsidP="006B14BA">
      <w:pPr>
        <w:spacing w:line="400" w:lineRule="exact"/>
        <w:ind w:firstLineChars="200" w:firstLine="422"/>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本产品的风险等级为PR1</w:t>
      </w:r>
      <w:r w:rsidR="00337631">
        <w:rPr>
          <w:rFonts w:ascii="仿宋_GB2312" w:eastAsia="仿宋_GB2312" w:hAnsi="Arial Unicode MS" w:cs="STKaiti,Bold" w:hint="eastAsia"/>
          <w:b/>
          <w:bCs/>
          <w:color w:val="000000" w:themeColor="text1"/>
          <w:kern w:val="0"/>
          <w:szCs w:val="21"/>
        </w:rPr>
        <w:t>（低风险）</w:t>
      </w:r>
      <w:r w:rsidR="00B24CBB" w:rsidRPr="005A2B5B">
        <w:rPr>
          <w:rFonts w:ascii="仿宋_GB2312" w:eastAsia="仿宋_GB2312" w:hAnsi="Arial Unicode MS" w:cs="STKaiti,Bold" w:hint="eastAsia"/>
          <w:b/>
          <w:bCs/>
          <w:color w:val="000000" w:themeColor="text1"/>
          <w:kern w:val="0"/>
          <w:szCs w:val="21"/>
        </w:rPr>
        <w:t>，</w:t>
      </w:r>
      <w:r w:rsidRPr="005A2B5B">
        <w:rPr>
          <w:rFonts w:ascii="仿宋_GB2312" w:eastAsia="仿宋_GB2312" w:hAnsi="Arial Unicode MS" w:cs="STKaiti,Bold" w:hint="eastAsia"/>
          <w:b/>
          <w:bCs/>
          <w:color w:val="000000" w:themeColor="text1"/>
          <w:kern w:val="0"/>
          <w:szCs w:val="21"/>
        </w:rPr>
        <w:t>该评级仅是杭州联合银行内部测评结果，仅供投资者参考，不具有任何法律约束力。</w:t>
      </w:r>
    </w:p>
    <w:p w:rsidR="00E31DFD" w:rsidRPr="006B14BA" w:rsidRDefault="00E31DFD" w:rsidP="006B14BA">
      <w:pPr>
        <w:spacing w:line="400" w:lineRule="exact"/>
        <w:ind w:firstLineChars="200" w:firstLine="422"/>
        <w:jc w:val="left"/>
        <w:rPr>
          <w:rFonts w:ascii="仿宋_GB2312" w:eastAsia="仿宋_GB2312" w:hAnsi="Arial Unicode MS" w:cs="STKaiti,Bold"/>
          <w:b/>
          <w:bCs/>
          <w:color w:val="000000" w:themeColor="text1"/>
          <w:kern w:val="0"/>
          <w:szCs w:val="21"/>
        </w:rPr>
      </w:pPr>
    </w:p>
    <w:p w:rsidR="006066A0" w:rsidRPr="006B14BA" w:rsidRDefault="00E03936" w:rsidP="005A2B5B">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产品</w:t>
      </w:r>
      <w:r w:rsidR="008F5581" w:rsidRPr="006B14BA">
        <w:rPr>
          <w:rFonts w:ascii="仿宋_GB2312" w:eastAsia="仿宋_GB2312" w:hAnsi="宋体" w:hint="eastAsia"/>
          <w:b/>
          <w:color w:val="000000" w:themeColor="text1"/>
          <w:sz w:val="24"/>
          <w:szCs w:val="21"/>
        </w:rPr>
        <w:t>基本信息</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9"/>
        <w:gridCol w:w="2551"/>
        <w:gridCol w:w="4288"/>
      </w:tblGrid>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产品名称</w:t>
            </w:r>
          </w:p>
        </w:tc>
        <w:tc>
          <w:tcPr>
            <w:tcW w:w="6839" w:type="dxa"/>
            <w:gridSpan w:val="2"/>
            <w:tcMar>
              <w:top w:w="15" w:type="dxa"/>
              <w:left w:w="15" w:type="dxa"/>
              <w:bottom w:w="0" w:type="dxa"/>
              <w:right w:w="15" w:type="dxa"/>
            </w:tcMar>
            <w:vAlign w:val="center"/>
          </w:tcPr>
          <w:p w:rsidR="00E03936" w:rsidRPr="00E31DFD" w:rsidRDefault="00882B08" w:rsidP="00775143">
            <w:pPr>
              <w:autoSpaceDE w:val="0"/>
              <w:autoSpaceDN w:val="0"/>
              <w:adjustRightInd w:val="0"/>
              <w:spacing w:line="400" w:lineRule="exact"/>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杭州联合农村商业银行股份有限公司</w:t>
            </w:r>
            <w:r w:rsidR="00AB16C4" w:rsidRPr="00E31DFD">
              <w:rPr>
                <w:rFonts w:ascii="仿宋_GB2312" w:eastAsia="仿宋_GB2312" w:hAnsi="宋体" w:hint="eastAsia"/>
                <w:color w:val="000000" w:themeColor="text1"/>
                <w:sz w:val="20"/>
                <w:szCs w:val="21"/>
              </w:rPr>
              <w:t>“联盈宝”</w:t>
            </w:r>
            <w:r w:rsidR="00E776D2" w:rsidRPr="00E31DFD">
              <w:rPr>
                <w:rFonts w:ascii="仿宋_GB2312" w:eastAsia="仿宋_GB2312" w:hAnsi="宋体" w:hint="eastAsia"/>
                <w:color w:val="000000" w:themeColor="text1"/>
                <w:sz w:val="20"/>
                <w:szCs w:val="21"/>
              </w:rPr>
              <w:t>系列</w:t>
            </w:r>
            <w:r w:rsidR="003636A3" w:rsidRPr="00E31DFD">
              <w:rPr>
                <w:rFonts w:ascii="仿宋_GB2312" w:eastAsia="仿宋_GB2312" w:hAnsi="宋体" w:hint="eastAsia"/>
                <w:color w:val="000000" w:themeColor="text1"/>
                <w:sz w:val="20"/>
                <w:szCs w:val="21"/>
              </w:rPr>
              <w:t>JG</w:t>
            </w:r>
            <w:r w:rsidR="00E44EE3" w:rsidRPr="00E31DFD">
              <w:rPr>
                <w:rFonts w:ascii="仿宋_GB2312" w:eastAsia="仿宋_GB2312" w:hAnsi="宋体" w:hint="eastAsia"/>
                <w:color w:val="000000" w:themeColor="text1"/>
                <w:sz w:val="20"/>
                <w:szCs w:val="21"/>
              </w:rPr>
              <w:t>2100</w:t>
            </w:r>
            <w:r w:rsidR="00A458F9">
              <w:rPr>
                <w:rFonts w:ascii="仿宋_GB2312" w:eastAsia="仿宋_GB2312" w:hAnsi="宋体" w:hint="eastAsia"/>
                <w:color w:val="000000" w:themeColor="text1"/>
                <w:sz w:val="20"/>
                <w:szCs w:val="21"/>
              </w:rPr>
              <w:t>59</w:t>
            </w:r>
            <w:r w:rsidR="00E776D2" w:rsidRPr="00E31DFD">
              <w:rPr>
                <w:rFonts w:ascii="仿宋_GB2312" w:eastAsia="仿宋_GB2312" w:hAnsi="宋体" w:hint="eastAsia"/>
                <w:color w:val="000000" w:themeColor="text1"/>
                <w:sz w:val="20"/>
                <w:szCs w:val="21"/>
              </w:rPr>
              <w:t>期</w:t>
            </w:r>
          </w:p>
        </w:tc>
      </w:tr>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产品编号</w:t>
            </w:r>
          </w:p>
        </w:tc>
        <w:tc>
          <w:tcPr>
            <w:tcW w:w="6839" w:type="dxa"/>
            <w:gridSpan w:val="2"/>
            <w:tcMar>
              <w:top w:w="15" w:type="dxa"/>
              <w:left w:w="15" w:type="dxa"/>
              <w:bottom w:w="0" w:type="dxa"/>
              <w:right w:w="15" w:type="dxa"/>
            </w:tcMar>
            <w:vAlign w:val="center"/>
          </w:tcPr>
          <w:p w:rsidR="00E03936" w:rsidRPr="00E31DFD" w:rsidRDefault="003636A3" w:rsidP="00775143">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JG</w:t>
            </w:r>
            <w:r w:rsidR="00E44EE3" w:rsidRPr="00E31DFD">
              <w:rPr>
                <w:rFonts w:ascii="仿宋_GB2312" w:eastAsia="仿宋_GB2312" w:hAnsi="宋体" w:hint="eastAsia"/>
                <w:color w:val="000000" w:themeColor="text1"/>
                <w:sz w:val="20"/>
                <w:szCs w:val="21"/>
              </w:rPr>
              <w:t>2100</w:t>
            </w:r>
            <w:r w:rsidR="00A458F9">
              <w:rPr>
                <w:rFonts w:ascii="仿宋_GB2312" w:eastAsia="仿宋_GB2312" w:hAnsi="宋体" w:hint="eastAsia"/>
                <w:color w:val="000000" w:themeColor="text1"/>
                <w:sz w:val="20"/>
                <w:szCs w:val="21"/>
              </w:rPr>
              <w:t>59</w:t>
            </w:r>
          </w:p>
        </w:tc>
      </w:tr>
      <w:tr w:rsidR="005132B6" w:rsidRPr="00E31DFD" w:rsidTr="005951A3">
        <w:trPr>
          <w:trHeight w:val="388"/>
          <w:jc w:val="center"/>
        </w:trPr>
        <w:tc>
          <w:tcPr>
            <w:tcW w:w="1369" w:type="dxa"/>
            <w:tcMar>
              <w:top w:w="15" w:type="dxa"/>
              <w:left w:w="15" w:type="dxa"/>
              <w:bottom w:w="0" w:type="dxa"/>
              <w:right w:w="15" w:type="dxa"/>
            </w:tcMar>
            <w:vAlign w:val="center"/>
          </w:tcPr>
          <w:p w:rsidR="005132B6" w:rsidRPr="00E31DFD" w:rsidRDefault="005132B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产品类型</w:t>
            </w:r>
          </w:p>
        </w:tc>
        <w:tc>
          <w:tcPr>
            <w:tcW w:w="6839" w:type="dxa"/>
            <w:gridSpan w:val="2"/>
            <w:tcMar>
              <w:top w:w="15" w:type="dxa"/>
              <w:left w:w="15" w:type="dxa"/>
              <w:bottom w:w="0" w:type="dxa"/>
              <w:right w:w="15" w:type="dxa"/>
            </w:tcMar>
            <w:vAlign w:val="center"/>
          </w:tcPr>
          <w:p w:rsidR="005132B6" w:rsidRPr="00E31DFD" w:rsidRDefault="005132B6"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保本浮动收益</w:t>
            </w:r>
            <w:r w:rsidR="00E44EE3" w:rsidRPr="00E31DFD">
              <w:rPr>
                <w:rFonts w:ascii="仿宋_GB2312" w:eastAsia="仿宋_GB2312" w:hAnsi="宋体" w:hint="eastAsia"/>
                <w:color w:val="000000" w:themeColor="text1"/>
                <w:sz w:val="20"/>
                <w:szCs w:val="21"/>
              </w:rPr>
              <w:t>型</w:t>
            </w:r>
          </w:p>
        </w:tc>
      </w:tr>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lastRenderedPageBreak/>
              <w:t>币种</w:t>
            </w:r>
          </w:p>
        </w:tc>
        <w:tc>
          <w:tcPr>
            <w:tcW w:w="6839" w:type="dxa"/>
            <w:gridSpan w:val="2"/>
            <w:tcMar>
              <w:top w:w="15" w:type="dxa"/>
              <w:left w:w="15" w:type="dxa"/>
              <w:bottom w:w="0" w:type="dxa"/>
              <w:right w:w="15" w:type="dxa"/>
            </w:tcMar>
            <w:vAlign w:val="center"/>
          </w:tcPr>
          <w:p w:rsidR="00E03936" w:rsidRPr="00E31DFD" w:rsidRDefault="00C11397"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人民币</w:t>
            </w:r>
          </w:p>
        </w:tc>
      </w:tr>
      <w:tr w:rsidR="0037689A" w:rsidRPr="00E31DFD" w:rsidTr="005951A3">
        <w:trPr>
          <w:trHeight w:val="388"/>
          <w:jc w:val="center"/>
        </w:trPr>
        <w:tc>
          <w:tcPr>
            <w:tcW w:w="1369" w:type="dxa"/>
            <w:tcMar>
              <w:top w:w="15" w:type="dxa"/>
              <w:left w:w="15" w:type="dxa"/>
              <w:bottom w:w="0" w:type="dxa"/>
              <w:right w:w="15" w:type="dxa"/>
            </w:tcMar>
            <w:vAlign w:val="center"/>
          </w:tcPr>
          <w:p w:rsidR="0037689A" w:rsidRPr="00E31DFD" w:rsidRDefault="0037689A"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适用</w:t>
            </w:r>
            <w:r w:rsidR="007F4CCF" w:rsidRPr="00E31DFD">
              <w:rPr>
                <w:rFonts w:ascii="仿宋_GB2312" w:eastAsia="仿宋_GB2312" w:hAnsi="宋体" w:hint="eastAsia"/>
                <w:b/>
                <w:color w:val="000000" w:themeColor="text1"/>
                <w:sz w:val="20"/>
                <w:szCs w:val="21"/>
              </w:rPr>
              <w:t>投资者</w:t>
            </w:r>
          </w:p>
        </w:tc>
        <w:tc>
          <w:tcPr>
            <w:tcW w:w="6839" w:type="dxa"/>
            <w:gridSpan w:val="2"/>
            <w:tcMar>
              <w:top w:w="15" w:type="dxa"/>
              <w:left w:w="15" w:type="dxa"/>
              <w:bottom w:w="0" w:type="dxa"/>
              <w:right w:w="15" w:type="dxa"/>
            </w:tcMar>
            <w:vAlign w:val="center"/>
          </w:tcPr>
          <w:p w:rsidR="0037689A" w:rsidRPr="00E31DFD" w:rsidRDefault="00ED323B"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机构</w:t>
            </w:r>
            <w:r w:rsidR="007F4CCF" w:rsidRPr="00E31DFD">
              <w:rPr>
                <w:rFonts w:ascii="仿宋_GB2312" w:eastAsia="仿宋_GB2312" w:hAnsi="宋体" w:hint="eastAsia"/>
                <w:color w:val="000000" w:themeColor="text1"/>
                <w:sz w:val="20"/>
                <w:szCs w:val="21"/>
              </w:rPr>
              <w:t>投资者</w:t>
            </w:r>
          </w:p>
        </w:tc>
      </w:tr>
      <w:tr w:rsidR="00711C9B" w:rsidRPr="00E31DFD" w:rsidTr="005951A3">
        <w:trPr>
          <w:trHeight w:val="388"/>
          <w:jc w:val="center"/>
        </w:trPr>
        <w:tc>
          <w:tcPr>
            <w:tcW w:w="1369" w:type="dxa"/>
            <w:tcMar>
              <w:top w:w="15" w:type="dxa"/>
              <w:left w:w="15" w:type="dxa"/>
              <w:bottom w:w="0" w:type="dxa"/>
              <w:right w:w="15" w:type="dxa"/>
            </w:tcMar>
            <w:vAlign w:val="center"/>
          </w:tcPr>
          <w:p w:rsidR="00711C9B"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认购限额</w:t>
            </w:r>
          </w:p>
        </w:tc>
        <w:tc>
          <w:tcPr>
            <w:tcW w:w="6839" w:type="dxa"/>
            <w:gridSpan w:val="2"/>
            <w:tcMar>
              <w:top w:w="15" w:type="dxa"/>
              <w:left w:w="15" w:type="dxa"/>
              <w:bottom w:w="0" w:type="dxa"/>
              <w:right w:w="15" w:type="dxa"/>
            </w:tcMar>
            <w:vAlign w:val="center"/>
          </w:tcPr>
          <w:p w:rsidR="00711C9B" w:rsidRPr="00E31DFD" w:rsidRDefault="00E44EE3" w:rsidP="00775143">
            <w:pPr>
              <w:widowControl/>
              <w:spacing w:line="400" w:lineRule="exact"/>
              <w:contextualSpacing/>
              <w:jc w:val="left"/>
              <w:rPr>
                <w:rFonts w:ascii="仿宋_GB2312" w:eastAsia="仿宋_GB2312" w:hAnsi="宋体"/>
                <w:color w:val="000000" w:themeColor="text1"/>
                <w:sz w:val="20"/>
                <w:szCs w:val="21"/>
              </w:rPr>
            </w:pPr>
            <w:r w:rsidRPr="0095492C">
              <w:rPr>
                <w:rFonts w:ascii="仿宋_GB2312" w:eastAsia="仿宋_GB2312" w:hAnsi="宋体" w:hint="eastAsia"/>
                <w:color w:val="000000" w:themeColor="text1"/>
                <w:sz w:val="20"/>
                <w:szCs w:val="21"/>
              </w:rPr>
              <w:t>单笔认购起点为</w:t>
            </w:r>
            <w:r w:rsidR="00211483" w:rsidRPr="0095492C">
              <w:rPr>
                <w:rFonts w:ascii="仿宋_GB2312" w:eastAsia="仿宋_GB2312" w:hAnsi="宋体" w:hint="eastAsia"/>
                <w:color w:val="000000" w:themeColor="text1"/>
                <w:sz w:val="20"/>
                <w:szCs w:val="21"/>
              </w:rPr>
              <w:t>100</w:t>
            </w:r>
            <w:r w:rsidR="00B50ECA">
              <w:rPr>
                <w:rFonts w:ascii="仿宋_GB2312" w:eastAsia="仿宋_GB2312" w:hAnsi="宋体" w:hint="eastAsia"/>
                <w:color w:val="000000" w:themeColor="text1"/>
                <w:sz w:val="20"/>
                <w:szCs w:val="21"/>
              </w:rPr>
              <w:t>0</w:t>
            </w:r>
            <w:r w:rsidRPr="0095492C">
              <w:rPr>
                <w:rFonts w:ascii="仿宋_GB2312" w:eastAsia="仿宋_GB2312" w:hAnsi="宋体" w:hint="eastAsia"/>
                <w:color w:val="000000" w:themeColor="text1"/>
                <w:sz w:val="20"/>
                <w:szCs w:val="21"/>
              </w:rPr>
              <w:t>万元，</w:t>
            </w:r>
            <w:r w:rsidR="003D55CD" w:rsidRPr="0095492C">
              <w:rPr>
                <w:rFonts w:ascii="仿宋_GB2312" w:eastAsia="仿宋_GB2312" w:hAnsi="宋体" w:hint="eastAsia"/>
                <w:color w:val="000000" w:themeColor="text1"/>
                <w:sz w:val="20"/>
                <w:szCs w:val="21"/>
              </w:rPr>
              <w:t>单户认购限额为</w:t>
            </w:r>
            <w:r w:rsidR="00A458F9">
              <w:rPr>
                <w:rFonts w:ascii="仿宋_GB2312" w:eastAsia="仿宋_GB2312" w:hAnsi="宋体" w:hint="eastAsia"/>
                <w:color w:val="000000" w:themeColor="text1"/>
                <w:sz w:val="20"/>
                <w:szCs w:val="21"/>
              </w:rPr>
              <w:t>11</w:t>
            </w:r>
            <w:r w:rsidR="0011095C">
              <w:rPr>
                <w:rFonts w:ascii="仿宋_GB2312" w:eastAsia="仿宋_GB2312" w:hAnsi="宋体" w:hint="eastAsia"/>
                <w:color w:val="000000" w:themeColor="text1"/>
                <w:sz w:val="20"/>
                <w:szCs w:val="21"/>
              </w:rPr>
              <w:t>000</w:t>
            </w:r>
            <w:r w:rsidR="003D55CD" w:rsidRPr="0095492C">
              <w:rPr>
                <w:rFonts w:ascii="仿宋_GB2312" w:eastAsia="仿宋_GB2312" w:hAnsi="宋体" w:hint="eastAsia"/>
                <w:color w:val="000000" w:themeColor="text1"/>
                <w:sz w:val="20"/>
                <w:szCs w:val="21"/>
              </w:rPr>
              <w:t>万元</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157A6F" w:rsidRDefault="00E44EE3" w:rsidP="005A2B5B">
            <w:pPr>
              <w:widowControl/>
              <w:spacing w:line="400" w:lineRule="exact"/>
              <w:contextualSpacing/>
              <w:jc w:val="left"/>
              <w:rPr>
                <w:rFonts w:ascii="仿宋_GB2312" w:eastAsia="仿宋_GB2312" w:hAnsi="宋体"/>
                <w:b/>
                <w:color w:val="000000" w:themeColor="text1"/>
                <w:sz w:val="20"/>
                <w:szCs w:val="21"/>
              </w:rPr>
            </w:pPr>
            <w:r w:rsidRPr="00157A6F">
              <w:rPr>
                <w:rFonts w:ascii="仿宋_GB2312" w:eastAsia="仿宋_GB2312" w:hAnsi="宋体" w:hint="eastAsia"/>
                <w:b/>
                <w:color w:val="000000" w:themeColor="text1"/>
                <w:sz w:val="20"/>
                <w:szCs w:val="21"/>
              </w:rPr>
              <w:t>募集规模上限</w:t>
            </w:r>
          </w:p>
        </w:tc>
        <w:tc>
          <w:tcPr>
            <w:tcW w:w="6839" w:type="dxa"/>
            <w:gridSpan w:val="2"/>
            <w:tcMar>
              <w:top w:w="15" w:type="dxa"/>
              <w:left w:w="15" w:type="dxa"/>
              <w:bottom w:w="0" w:type="dxa"/>
              <w:right w:w="15" w:type="dxa"/>
            </w:tcMar>
            <w:vAlign w:val="center"/>
          </w:tcPr>
          <w:p w:rsidR="00E44EE3" w:rsidRPr="00157A6F" w:rsidRDefault="00A458F9" w:rsidP="005A2B5B">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Arial Unicode MS" w:cs="STKaiti,Bold" w:hint="eastAsia"/>
                <w:bCs/>
                <w:color w:val="000000" w:themeColor="text1"/>
                <w:kern w:val="0"/>
                <w:sz w:val="20"/>
                <w:szCs w:val="21"/>
              </w:rPr>
              <w:t>11</w:t>
            </w:r>
            <w:r w:rsidR="00BF36D3" w:rsidRPr="00157A6F">
              <w:rPr>
                <w:rFonts w:ascii="仿宋_GB2312" w:eastAsia="仿宋_GB2312" w:hAnsi="Arial Unicode MS" w:cs="STKaiti,Bold"/>
                <w:bCs/>
                <w:color w:val="000000" w:themeColor="text1"/>
                <w:kern w:val="0"/>
                <w:sz w:val="20"/>
                <w:szCs w:val="21"/>
              </w:rPr>
              <w:t>000</w:t>
            </w:r>
            <w:r w:rsidR="00E44EE3" w:rsidRPr="00157A6F">
              <w:rPr>
                <w:rFonts w:ascii="仿宋_GB2312" w:eastAsia="仿宋_GB2312" w:hAnsi="宋体" w:hint="eastAsia"/>
                <w:color w:val="000000" w:themeColor="text1"/>
                <w:sz w:val="20"/>
                <w:szCs w:val="21"/>
              </w:rPr>
              <w:t>万元</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157A6F" w:rsidRDefault="00E44EE3" w:rsidP="005A2B5B">
            <w:pPr>
              <w:widowControl/>
              <w:spacing w:line="400" w:lineRule="exact"/>
              <w:contextualSpacing/>
              <w:jc w:val="left"/>
              <w:rPr>
                <w:rFonts w:ascii="仿宋_GB2312" w:eastAsia="仿宋_GB2312" w:hAnsi="宋体"/>
                <w:b/>
                <w:color w:val="000000" w:themeColor="text1"/>
                <w:sz w:val="20"/>
                <w:szCs w:val="21"/>
              </w:rPr>
            </w:pPr>
            <w:r w:rsidRPr="00157A6F">
              <w:rPr>
                <w:rFonts w:ascii="仿宋_GB2312" w:eastAsia="仿宋_GB2312" w:hAnsi="宋体" w:hint="eastAsia"/>
                <w:b/>
                <w:color w:val="000000" w:themeColor="text1"/>
                <w:sz w:val="20"/>
                <w:szCs w:val="21"/>
              </w:rPr>
              <w:t>投资冷静期</w:t>
            </w:r>
          </w:p>
        </w:tc>
        <w:tc>
          <w:tcPr>
            <w:tcW w:w="6839" w:type="dxa"/>
            <w:gridSpan w:val="2"/>
            <w:tcMar>
              <w:top w:w="15" w:type="dxa"/>
              <w:left w:w="15" w:type="dxa"/>
              <w:bottom w:w="0" w:type="dxa"/>
              <w:right w:w="15" w:type="dxa"/>
            </w:tcMar>
            <w:vAlign w:val="center"/>
          </w:tcPr>
          <w:p w:rsidR="00E44EE3" w:rsidRPr="00157A6F" w:rsidRDefault="005E0D5E" w:rsidP="005A2B5B">
            <w:pPr>
              <w:widowControl/>
              <w:spacing w:line="400" w:lineRule="exact"/>
              <w:contextualSpacing/>
              <w:jc w:val="left"/>
              <w:rPr>
                <w:rFonts w:ascii="仿宋_GB2312" w:eastAsia="仿宋_GB2312" w:hAnsi="Arial Unicode MS" w:cs="STKaiti,Bold"/>
                <w:bCs/>
                <w:color w:val="000000" w:themeColor="text1"/>
                <w:kern w:val="0"/>
                <w:sz w:val="20"/>
                <w:szCs w:val="21"/>
              </w:rPr>
            </w:pPr>
            <w:r w:rsidRPr="00157A6F">
              <w:rPr>
                <w:rFonts w:ascii="仿宋_GB2312" w:eastAsia="仿宋_GB2312" w:hAnsi="Arial Unicode MS" w:cs="STKaiti,Bold" w:hint="eastAsia"/>
                <w:bCs/>
                <w:color w:val="000000" w:themeColor="text1"/>
                <w:kern w:val="0"/>
                <w:sz w:val="20"/>
                <w:szCs w:val="21"/>
              </w:rPr>
              <w:t>自</w:t>
            </w:r>
            <w:r w:rsidR="007F4CCF" w:rsidRPr="00157A6F">
              <w:rPr>
                <w:rFonts w:ascii="仿宋_GB2312" w:eastAsia="仿宋_GB2312" w:hAnsi="Arial Unicode MS" w:cs="STKaiti,Bold" w:hint="eastAsia"/>
                <w:bCs/>
                <w:color w:val="000000" w:themeColor="text1"/>
                <w:kern w:val="0"/>
                <w:sz w:val="20"/>
                <w:szCs w:val="21"/>
              </w:rPr>
              <w:t>投资者</w:t>
            </w:r>
            <w:r w:rsidRPr="00157A6F">
              <w:rPr>
                <w:rFonts w:ascii="仿宋_GB2312" w:eastAsia="仿宋_GB2312" w:hAnsi="Arial Unicode MS" w:cs="STKaiti,Bold" w:hint="eastAsia"/>
                <w:bCs/>
                <w:color w:val="000000" w:themeColor="text1"/>
                <w:kern w:val="0"/>
                <w:sz w:val="20"/>
                <w:szCs w:val="21"/>
              </w:rPr>
              <w:t>在销售文件签字</w:t>
            </w:r>
            <w:r w:rsidR="003D7F09" w:rsidRPr="00157A6F">
              <w:rPr>
                <w:rFonts w:ascii="仿宋_GB2312" w:eastAsia="仿宋_GB2312" w:hAnsi="Arial Unicode MS" w:cs="STKaiti,Bold" w:hint="eastAsia"/>
                <w:bCs/>
                <w:color w:val="000000" w:themeColor="text1"/>
                <w:kern w:val="0"/>
                <w:sz w:val="20"/>
                <w:szCs w:val="21"/>
              </w:rPr>
              <w:t>盖章</w:t>
            </w:r>
            <w:r w:rsidRPr="00157A6F">
              <w:rPr>
                <w:rFonts w:ascii="仿宋_GB2312" w:eastAsia="仿宋_GB2312" w:hAnsi="Arial Unicode MS" w:cs="STKaiti,Bold" w:hint="eastAsia"/>
                <w:bCs/>
                <w:color w:val="000000" w:themeColor="text1"/>
                <w:kern w:val="0"/>
                <w:sz w:val="20"/>
                <w:szCs w:val="21"/>
              </w:rPr>
              <w:t>确认后至本产品起息前，为投资冷静期，冷静期不少于二十四小时。</w:t>
            </w:r>
            <w:r w:rsidR="00E44EE3" w:rsidRPr="00157A6F">
              <w:rPr>
                <w:rFonts w:ascii="仿宋_GB2312" w:eastAsia="仿宋_GB2312" w:hAnsi="Arial Unicode MS" w:cs="STKaiti,Bold" w:hint="eastAsia"/>
                <w:bCs/>
                <w:color w:val="000000" w:themeColor="text1"/>
                <w:kern w:val="0"/>
                <w:sz w:val="20"/>
                <w:szCs w:val="21"/>
              </w:rPr>
              <w:t>投资冷静期内支持撤销产品购买</w:t>
            </w:r>
            <w:r w:rsidR="003D55CD" w:rsidRPr="00157A6F">
              <w:rPr>
                <w:rFonts w:ascii="仿宋_GB2312" w:eastAsia="仿宋_GB2312" w:hAnsi="Arial Unicode MS" w:cs="STKaiti,Bold" w:hint="eastAsia"/>
                <w:bCs/>
                <w:color w:val="000000" w:themeColor="text1"/>
                <w:kern w:val="0"/>
                <w:sz w:val="20"/>
                <w:szCs w:val="21"/>
              </w:rPr>
              <w:t>申请</w:t>
            </w:r>
            <w:r w:rsidR="00E44EE3" w:rsidRPr="00157A6F">
              <w:rPr>
                <w:rFonts w:ascii="仿宋_GB2312" w:eastAsia="仿宋_GB2312" w:hAnsi="Arial Unicode MS" w:cs="STKaiti,Bold" w:hint="eastAsia"/>
                <w:bCs/>
                <w:color w:val="000000" w:themeColor="text1"/>
                <w:kern w:val="0"/>
                <w:sz w:val="20"/>
                <w:szCs w:val="21"/>
              </w:rPr>
              <w:t>，杭州联合银行将遵从</w:t>
            </w:r>
            <w:r w:rsidR="007F4CCF" w:rsidRPr="00157A6F">
              <w:rPr>
                <w:rFonts w:ascii="仿宋_GB2312" w:eastAsia="仿宋_GB2312" w:hAnsi="Arial Unicode MS" w:cs="STKaiti,Bold" w:hint="eastAsia"/>
                <w:bCs/>
                <w:color w:val="000000" w:themeColor="text1"/>
                <w:kern w:val="0"/>
                <w:sz w:val="20"/>
                <w:szCs w:val="21"/>
              </w:rPr>
              <w:t>投资者</w:t>
            </w:r>
            <w:r w:rsidR="00E44EE3" w:rsidRPr="00157A6F">
              <w:rPr>
                <w:rFonts w:ascii="仿宋_GB2312" w:eastAsia="仿宋_GB2312" w:hAnsi="Arial Unicode MS" w:cs="STKaiti,Bold" w:hint="eastAsia"/>
                <w:bCs/>
                <w:color w:val="000000" w:themeColor="text1"/>
                <w:kern w:val="0"/>
                <w:sz w:val="20"/>
                <w:szCs w:val="21"/>
              </w:rPr>
              <w:t>意愿，解除已签订的销售文件，并及时退还</w:t>
            </w:r>
            <w:r w:rsidR="007F4CCF" w:rsidRPr="00157A6F">
              <w:rPr>
                <w:rFonts w:ascii="仿宋_GB2312" w:eastAsia="仿宋_GB2312" w:hAnsi="Arial Unicode MS" w:cs="STKaiti,Bold" w:hint="eastAsia"/>
                <w:bCs/>
                <w:color w:val="000000" w:themeColor="text1"/>
                <w:kern w:val="0"/>
                <w:sz w:val="20"/>
                <w:szCs w:val="21"/>
              </w:rPr>
              <w:t>投资者</w:t>
            </w:r>
            <w:r w:rsidR="00E44EE3" w:rsidRPr="00157A6F">
              <w:rPr>
                <w:rFonts w:ascii="仿宋_GB2312" w:eastAsia="仿宋_GB2312" w:hAnsi="Arial Unicode MS" w:cs="STKaiti,Bold" w:hint="eastAsia"/>
                <w:bCs/>
                <w:color w:val="000000" w:themeColor="text1"/>
                <w:kern w:val="0"/>
                <w:sz w:val="20"/>
                <w:szCs w:val="21"/>
              </w:rPr>
              <w:t>的全部投资款项。</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157A6F" w:rsidRDefault="00211483" w:rsidP="005A2B5B">
            <w:pPr>
              <w:widowControl/>
              <w:spacing w:line="400" w:lineRule="exact"/>
              <w:contextualSpacing/>
              <w:jc w:val="left"/>
              <w:rPr>
                <w:rFonts w:ascii="仿宋_GB2312" w:eastAsia="仿宋_GB2312" w:hAnsi="宋体"/>
                <w:b/>
                <w:color w:val="000000" w:themeColor="text1"/>
                <w:sz w:val="20"/>
                <w:szCs w:val="21"/>
              </w:rPr>
            </w:pPr>
            <w:r w:rsidRPr="00157A6F">
              <w:rPr>
                <w:rFonts w:ascii="仿宋_GB2312" w:eastAsia="仿宋_GB2312" w:hAnsi="宋体" w:hint="eastAsia"/>
                <w:b/>
                <w:color w:val="000000" w:themeColor="text1"/>
                <w:sz w:val="20"/>
                <w:szCs w:val="21"/>
              </w:rPr>
              <w:t>认购期</w:t>
            </w:r>
          </w:p>
        </w:tc>
        <w:tc>
          <w:tcPr>
            <w:tcW w:w="6839" w:type="dxa"/>
            <w:gridSpan w:val="2"/>
            <w:tcMar>
              <w:top w:w="15" w:type="dxa"/>
              <w:left w:w="15" w:type="dxa"/>
              <w:bottom w:w="0" w:type="dxa"/>
              <w:right w:w="15" w:type="dxa"/>
            </w:tcMar>
            <w:vAlign w:val="center"/>
          </w:tcPr>
          <w:p w:rsidR="00211483" w:rsidRPr="00157A6F" w:rsidRDefault="00211483" w:rsidP="00775143">
            <w:pPr>
              <w:widowControl/>
              <w:spacing w:line="400" w:lineRule="exact"/>
              <w:contextualSpacing/>
              <w:jc w:val="left"/>
              <w:rPr>
                <w:rFonts w:ascii="仿宋_GB2312" w:eastAsia="仿宋_GB2312" w:hAnsi="宋体"/>
                <w:color w:val="000000"/>
                <w:sz w:val="20"/>
                <w:szCs w:val="21"/>
              </w:rPr>
            </w:pPr>
            <w:r w:rsidRPr="00157A6F">
              <w:rPr>
                <w:rFonts w:ascii="仿宋_GB2312" w:eastAsia="仿宋_GB2312" w:hAnsi="宋体" w:hint="eastAsia"/>
                <w:color w:val="000000"/>
                <w:sz w:val="20"/>
                <w:szCs w:val="21"/>
              </w:rPr>
              <w:t>2021年</w:t>
            </w:r>
            <w:r w:rsidR="00F412D0">
              <w:rPr>
                <w:rFonts w:ascii="仿宋_GB2312" w:eastAsia="仿宋_GB2312" w:hAnsi="宋体" w:hint="eastAsia"/>
                <w:color w:val="000000"/>
                <w:sz w:val="20"/>
                <w:szCs w:val="21"/>
              </w:rPr>
              <w:t>8</w:t>
            </w:r>
            <w:r w:rsidRPr="00157A6F">
              <w:rPr>
                <w:rFonts w:ascii="仿宋_GB2312" w:eastAsia="仿宋_GB2312" w:hAnsi="宋体" w:hint="eastAsia"/>
                <w:color w:val="000000"/>
                <w:sz w:val="20"/>
                <w:szCs w:val="21"/>
              </w:rPr>
              <w:t>月</w:t>
            </w:r>
            <w:r w:rsidR="00F412D0">
              <w:rPr>
                <w:rFonts w:ascii="仿宋_GB2312" w:eastAsia="仿宋_GB2312" w:hAnsi="宋体" w:hint="eastAsia"/>
                <w:color w:val="000000"/>
                <w:sz w:val="20"/>
                <w:szCs w:val="21"/>
              </w:rPr>
              <w:t>17</w:t>
            </w:r>
            <w:r w:rsidRPr="00157A6F">
              <w:rPr>
                <w:rFonts w:ascii="仿宋_GB2312" w:eastAsia="仿宋_GB2312" w:hAnsi="宋体" w:hint="eastAsia"/>
                <w:color w:val="000000"/>
                <w:sz w:val="20"/>
                <w:szCs w:val="21"/>
              </w:rPr>
              <w:t>日</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157A6F" w:rsidRDefault="00211483" w:rsidP="005A2B5B">
            <w:pPr>
              <w:widowControl/>
              <w:spacing w:line="400" w:lineRule="exact"/>
              <w:contextualSpacing/>
              <w:jc w:val="left"/>
              <w:rPr>
                <w:rFonts w:ascii="仿宋_GB2312" w:eastAsia="仿宋_GB2312" w:hAnsi="宋体"/>
                <w:b/>
                <w:color w:val="000000" w:themeColor="text1"/>
                <w:sz w:val="20"/>
                <w:szCs w:val="21"/>
              </w:rPr>
            </w:pPr>
            <w:r w:rsidRPr="00157A6F">
              <w:rPr>
                <w:rFonts w:ascii="仿宋_GB2312" w:eastAsia="仿宋_GB2312" w:hAnsi="宋体" w:hint="eastAsia"/>
                <w:b/>
                <w:color w:val="000000" w:themeColor="text1"/>
                <w:sz w:val="20"/>
                <w:szCs w:val="21"/>
              </w:rPr>
              <w:t>起息日</w:t>
            </w:r>
          </w:p>
        </w:tc>
        <w:tc>
          <w:tcPr>
            <w:tcW w:w="6839" w:type="dxa"/>
            <w:gridSpan w:val="2"/>
            <w:tcMar>
              <w:top w:w="15" w:type="dxa"/>
              <w:left w:w="15" w:type="dxa"/>
              <w:bottom w:w="0" w:type="dxa"/>
              <w:right w:w="15" w:type="dxa"/>
            </w:tcMar>
            <w:vAlign w:val="center"/>
          </w:tcPr>
          <w:p w:rsidR="00211483" w:rsidRPr="00157A6F" w:rsidRDefault="00211483" w:rsidP="00775143">
            <w:pPr>
              <w:widowControl/>
              <w:spacing w:line="400" w:lineRule="exact"/>
              <w:contextualSpacing/>
              <w:jc w:val="left"/>
              <w:rPr>
                <w:rFonts w:ascii="仿宋_GB2312" w:eastAsia="仿宋_GB2312" w:hAnsi="宋体"/>
                <w:color w:val="000000"/>
                <w:sz w:val="20"/>
                <w:szCs w:val="21"/>
              </w:rPr>
            </w:pPr>
            <w:r w:rsidRPr="00157A6F">
              <w:rPr>
                <w:rFonts w:ascii="仿宋_GB2312" w:eastAsia="仿宋_GB2312" w:hAnsi="宋体" w:hint="eastAsia"/>
                <w:color w:val="000000"/>
                <w:sz w:val="20"/>
                <w:szCs w:val="21"/>
              </w:rPr>
              <w:t>2021年</w:t>
            </w:r>
            <w:r w:rsidR="00F412D0">
              <w:rPr>
                <w:rFonts w:ascii="仿宋_GB2312" w:eastAsia="仿宋_GB2312" w:hAnsi="宋体" w:hint="eastAsia"/>
                <w:color w:val="000000"/>
                <w:sz w:val="20"/>
                <w:szCs w:val="21"/>
              </w:rPr>
              <w:t>8</w:t>
            </w:r>
            <w:r w:rsidR="00F412D0" w:rsidRPr="00157A6F">
              <w:rPr>
                <w:rFonts w:ascii="仿宋_GB2312" w:eastAsia="仿宋_GB2312" w:hAnsi="宋体" w:hint="eastAsia"/>
                <w:color w:val="000000"/>
                <w:sz w:val="20"/>
                <w:szCs w:val="21"/>
              </w:rPr>
              <w:t>月</w:t>
            </w:r>
            <w:r w:rsidR="00F412D0">
              <w:rPr>
                <w:rFonts w:ascii="仿宋_GB2312" w:eastAsia="仿宋_GB2312" w:hAnsi="宋体" w:hint="eastAsia"/>
                <w:color w:val="000000"/>
                <w:sz w:val="20"/>
                <w:szCs w:val="21"/>
              </w:rPr>
              <w:t>19</w:t>
            </w:r>
            <w:r w:rsidR="00F412D0" w:rsidRPr="00157A6F">
              <w:rPr>
                <w:rFonts w:ascii="仿宋_GB2312" w:eastAsia="仿宋_GB2312" w:hAnsi="宋体" w:hint="eastAsia"/>
                <w:color w:val="000000"/>
                <w:sz w:val="20"/>
                <w:szCs w:val="21"/>
              </w:rPr>
              <w:t>日</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157A6F" w:rsidRDefault="00211483" w:rsidP="005A2B5B">
            <w:pPr>
              <w:widowControl/>
              <w:spacing w:line="400" w:lineRule="exact"/>
              <w:contextualSpacing/>
              <w:jc w:val="left"/>
              <w:rPr>
                <w:rFonts w:ascii="仿宋_GB2312" w:eastAsia="仿宋_GB2312" w:hAnsi="宋体"/>
                <w:b/>
                <w:color w:val="000000" w:themeColor="text1"/>
                <w:sz w:val="20"/>
                <w:szCs w:val="21"/>
              </w:rPr>
            </w:pPr>
            <w:r w:rsidRPr="00157A6F">
              <w:rPr>
                <w:rFonts w:ascii="仿宋_GB2312" w:eastAsia="仿宋_GB2312" w:hAnsi="宋体" w:hint="eastAsia"/>
                <w:b/>
                <w:color w:val="000000" w:themeColor="text1"/>
                <w:sz w:val="20"/>
                <w:szCs w:val="21"/>
              </w:rPr>
              <w:t>到期日</w:t>
            </w:r>
          </w:p>
        </w:tc>
        <w:tc>
          <w:tcPr>
            <w:tcW w:w="6839" w:type="dxa"/>
            <w:gridSpan w:val="2"/>
            <w:tcMar>
              <w:top w:w="15" w:type="dxa"/>
              <w:left w:w="15" w:type="dxa"/>
              <w:bottom w:w="0" w:type="dxa"/>
              <w:right w:w="15" w:type="dxa"/>
            </w:tcMar>
            <w:vAlign w:val="center"/>
          </w:tcPr>
          <w:p w:rsidR="00211483" w:rsidRPr="00157A6F" w:rsidRDefault="00BF36D3" w:rsidP="00BF32B7">
            <w:pPr>
              <w:widowControl/>
              <w:spacing w:line="400" w:lineRule="exact"/>
              <w:contextualSpacing/>
              <w:jc w:val="left"/>
              <w:rPr>
                <w:rFonts w:ascii="仿宋_GB2312" w:eastAsia="仿宋_GB2312" w:hAnsi="宋体"/>
                <w:color w:val="000000"/>
                <w:sz w:val="20"/>
                <w:szCs w:val="21"/>
              </w:rPr>
            </w:pPr>
            <w:r w:rsidRPr="00157A6F">
              <w:rPr>
                <w:rFonts w:ascii="仿宋_GB2312" w:eastAsia="仿宋_GB2312" w:hAnsi="宋体"/>
                <w:color w:val="000000"/>
                <w:sz w:val="20"/>
                <w:szCs w:val="21"/>
              </w:rPr>
              <w:t>2021</w:t>
            </w:r>
            <w:r w:rsidR="00211483" w:rsidRPr="00157A6F">
              <w:rPr>
                <w:rFonts w:ascii="仿宋_GB2312" w:eastAsia="仿宋_GB2312" w:hAnsi="宋体" w:hint="eastAsia"/>
                <w:color w:val="000000"/>
                <w:sz w:val="20"/>
                <w:szCs w:val="21"/>
              </w:rPr>
              <w:t>年</w:t>
            </w:r>
            <w:r w:rsidR="00F412D0">
              <w:rPr>
                <w:rFonts w:ascii="仿宋_GB2312" w:eastAsia="仿宋_GB2312" w:hAnsi="宋体" w:hint="eastAsia"/>
                <w:color w:val="000000"/>
                <w:sz w:val="20"/>
                <w:szCs w:val="21"/>
              </w:rPr>
              <w:t>11</w:t>
            </w:r>
            <w:r w:rsidR="00211483" w:rsidRPr="00157A6F">
              <w:rPr>
                <w:rFonts w:ascii="仿宋_GB2312" w:eastAsia="仿宋_GB2312" w:hAnsi="宋体" w:hint="eastAsia"/>
                <w:color w:val="000000"/>
                <w:sz w:val="20"/>
                <w:szCs w:val="21"/>
              </w:rPr>
              <w:t>月</w:t>
            </w:r>
            <w:r w:rsidR="00F412D0">
              <w:rPr>
                <w:rFonts w:ascii="仿宋_GB2312" w:eastAsia="仿宋_GB2312" w:hAnsi="宋体" w:hint="eastAsia"/>
                <w:color w:val="000000"/>
                <w:sz w:val="20"/>
                <w:szCs w:val="21"/>
              </w:rPr>
              <w:t>19</w:t>
            </w:r>
            <w:r w:rsidR="00211483" w:rsidRPr="00157A6F">
              <w:rPr>
                <w:rFonts w:ascii="仿宋_GB2312" w:eastAsia="仿宋_GB2312" w:hAnsi="宋体" w:hint="eastAsia"/>
                <w:color w:val="000000"/>
                <w:sz w:val="20"/>
                <w:szCs w:val="21"/>
              </w:rPr>
              <w:t>日</w:t>
            </w:r>
          </w:p>
        </w:tc>
      </w:tr>
      <w:tr w:rsidR="00E44EE3" w:rsidRPr="00E31DFD" w:rsidTr="00FA49AF">
        <w:trPr>
          <w:trHeight w:val="388"/>
          <w:jc w:val="center"/>
        </w:trPr>
        <w:tc>
          <w:tcPr>
            <w:tcW w:w="1369" w:type="dxa"/>
            <w:vMerge w:val="restart"/>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挂钩标的</w:t>
            </w:r>
          </w:p>
        </w:tc>
        <w:tc>
          <w:tcPr>
            <w:tcW w:w="2551"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名称</w:t>
            </w:r>
          </w:p>
        </w:tc>
        <w:tc>
          <w:tcPr>
            <w:tcW w:w="4288" w:type="dxa"/>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定义</w:t>
            </w:r>
          </w:p>
        </w:tc>
      </w:tr>
      <w:tr w:rsidR="00E44EE3" w:rsidRPr="00E31DFD" w:rsidTr="00FA49AF">
        <w:trPr>
          <w:trHeight w:val="388"/>
          <w:jc w:val="center"/>
        </w:trPr>
        <w:tc>
          <w:tcPr>
            <w:tcW w:w="1369" w:type="dxa"/>
            <w:vMerge/>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p>
        </w:tc>
        <w:tc>
          <w:tcPr>
            <w:tcW w:w="2551" w:type="dxa"/>
            <w:tcMar>
              <w:top w:w="15" w:type="dxa"/>
              <w:left w:w="15" w:type="dxa"/>
              <w:bottom w:w="0" w:type="dxa"/>
              <w:right w:w="15" w:type="dxa"/>
            </w:tcMar>
            <w:vAlign w:val="center"/>
          </w:tcPr>
          <w:p w:rsidR="00E44EE3" w:rsidRPr="00E31DFD" w:rsidRDefault="00211483" w:rsidP="005A2B5B">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themeColor="text1"/>
                <w:sz w:val="20"/>
                <w:szCs w:val="21"/>
              </w:rPr>
              <w:t>欧元兑美元</w:t>
            </w:r>
            <w:r w:rsidR="00E44EE3" w:rsidRPr="00E31DFD">
              <w:rPr>
                <w:rFonts w:ascii="仿宋_GB2312" w:eastAsia="仿宋_GB2312" w:hAnsi="宋体" w:hint="eastAsia"/>
                <w:color w:val="000000" w:themeColor="text1"/>
                <w:sz w:val="20"/>
                <w:szCs w:val="21"/>
              </w:rPr>
              <w:t>即期汇率</w:t>
            </w:r>
          </w:p>
        </w:tc>
        <w:tc>
          <w:tcPr>
            <w:tcW w:w="4288" w:type="dxa"/>
            <w:vAlign w:val="center"/>
          </w:tcPr>
          <w:p w:rsidR="00E44EE3" w:rsidRPr="00E31DFD" w:rsidRDefault="00380F77" w:rsidP="00870A0C">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themeColor="text1"/>
                <w:sz w:val="20"/>
                <w:szCs w:val="21"/>
              </w:rPr>
              <w:t>观察日的</w:t>
            </w:r>
            <w:r w:rsidRPr="00E31DFD">
              <w:rPr>
                <w:rFonts w:ascii="仿宋_GB2312" w:eastAsia="仿宋_GB2312" w:hAnsi="宋体" w:hint="eastAsia"/>
                <w:color w:val="000000" w:themeColor="text1"/>
                <w:sz w:val="20"/>
                <w:szCs w:val="21"/>
              </w:rPr>
              <w:t>北京时间下午2点彭博“BFIX”页面显示的</w:t>
            </w:r>
            <w:r>
              <w:rPr>
                <w:rFonts w:ascii="仿宋_GB2312" w:eastAsia="仿宋_GB2312" w:hAnsi="宋体" w:hint="eastAsia"/>
                <w:color w:val="000000" w:themeColor="text1"/>
                <w:sz w:val="20"/>
                <w:szCs w:val="21"/>
              </w:rPr>
              <w:t>每一欧元可以兑换美元金额</w:t>
            </w:r>
            <w:r w:rsidRPr="00E31DFD">
              <w:rPr>
                <w:rFonts w:ascii="仿宋_GB2312" w:eastAsia="仿宋_GB2312" w:hAnsi="宋体" w:hint="eastAsia"/>
                <w:color w:val="000000" w:themeColor="text1"/>
                <w:sz w:val="20"/>
                <w:szCs w:val="21"/>
              </w:rPr>
              <w:t>，取值小数点后5位。如果届时约定的参照页面不能给出本产品所需的价格水平，杭州联合银行本着公平、公正、公允的原则，选择市场认可的合理价格水平进行计算。</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3266BB" w:rsidRDefault="00E44EE3" w:rsidP="005A2B5B">
            <w:pPr>
              <w:widowControl/>
              <w:spacing w:line="400" w:lineRule="exact"/>
              <w:contextualSpacing/>
              <w:jc w:val="left"/>
              <w:rPr>
                <w:rFonts w:ascii="仿宋_GB2312" w:eastAsia="仿宋_GB2312" w:hAnsi="宋体"/>
                <w:b/>
                <w:color w:val="000000" w:themeColor="text1"/>
                <w:sz w:val="20"/>
                <w:szCs w:val="21"/>
              </w:rPr>
            </w:pPr>
            <w:r w:rsidRPr="003266BB">
              <w:rPr>
                <w:rFonts w:ascii="仿宋_GB2312" w:eastAsia="仿宋_GB2312" w:hAnsi="宋体" w:hint="eastAsia"/>
                <w:b/>
                <w:color w:val="000000" w:themeColor="text1"/>
                <w:sz w:val="20"/>
                <w:szCs w:val="21"/>
              </w:rPr>
              <w:t>目标区间</w:t>
            </w:r>
          </w:p>
        </w:tc>
        <w:tc>
          <w:tcPr>
            <w:tcW w:w="6839" w:type="dxa"/>
            <w:gridSpan w:val="2"/>
            <w:tcMar>
              <w:top w:w="15" w:type="dxa"/>
              <w:left w:w="15" w:type="dxa"/>
              <w:bottom w:w="0" w:type="dxa"/>
              <w:right w:w="15" w:type="dxa"/>
            </w:tcMar>
            <w:vAlign w:val="center"/>
          </w:tcPr>
          <w:p w:rsidR="00385F2A" w:rsidRDefault="003266BB" w:rsidP="003266BB">
            <w:pPr>
              <w:widowControl/>
              <w:contextualSpacing/>
              <w:rPr>
                <w:rFonts w:ascii="仿宋_GB2312" w:eastAsia="仿宋_GB2312" w:hAnsi="宋体"/>
                <w:color w:val="000000" w:themeColor="text1"/>
                <w:sz w:val="20"/>
                <w:szCs w:val="21"/>
              </w:rPr>
            </w:pPr>
            <w:r w:rsidRPr="003266BB">
              <w:rPr>
                <w:rFonts w:ascii="仿宋_GB2312" w:eastAsia="仿宋_GB2312" w:hAnsi="宋体" w:hint="eastAsia"/>
                <w:color w:val="000000" w:themeColor="text1"/>
                <w:sz w:val="20"/>
                <w:szCs w:val="21"/>
              </w:rPr>
              <w:t>挂钩标的下限：SPOT-</w:t>
            </w:r>
            <w:r w:rsidR="0011095C">
              <w:rPr>
                <w:rFonts w:ascii="仿宋_GB2312" w:eastAsia="仿宋_GB2312" w:hAnsi="宋体" w:hint="eastAsia"/>
                <w:color w:val="000000" w:themeColor="text1"/>
                <w:sz w:val="20"/>
                <w:szCs w:val="21"/>
              </w:rPr>
              <w:t>0.0</w:t>
            </w:r>
            <w:r w:rsidR="00F412D0">
              <w:rPr>
                <w:rFonts w:ascii="仿宋_GB2312" w:eastAsia="仿宋_GB2312" w:hAnsi="宋体" w:hint="eastAsia"/>
                <w:color w:val="000000" w:themeColor="text1"/>
                <w:sz w:val="20"/>
                <w:szCs w:val="21"/>
              </w:rPr>
              <w:t>336</w:t>
            </w:r>
            <w:r w:rsidRPr="003266BB">
              <w:rPr>
                <w:rFonts w:ascii="仿宋_GB2312" w:eastAsia="仿宋_GB2312" w:hAnsi="宋体" w:hint="eastAsia"/>
                <w:color w:val="000000" w:themeColor="text1"/>
                <w:sz w:val="20"/>
                <w:szCs w:val="21"/>
              </w:rPr>
              <w:t>，</w:t>
            </w:r>
          </w:p>
          <w:p w:rsidR="00E44EE3" w:rsidRPr="003266BB" w:rsidRDefault="003266BB" w:rsidP="00232F59">
            <w:pPr>
              <w:widowControl/>
              <w:contextualSpacing/>
              <w:rPr>
                <w:rFonts w:ascii="仿宋_GB2312" w:eastAsia="仿宋_GB2312" w:hAnsi="宋体"/>
                <w:color w:val="000000" w:themeColor="text1"/>
                <w:sz w:val="20"/>
                <w:szCs w:val="21"/>
              </w:rPr>
            </w:pPr>
            <w:r w:rsidRPr="003266BB">
              <w:rPr>
                <w:rFonts w:ascii="仿宋_GB2312" w:eastAsia="仿宋_GB2312" w:hAnsi="宋体" w:hint="eastAsia"/>
                <w:color w:val="000000" w:themeColor="text1"/>
                <w:sz w:val="20"/>
                <w:szCs w:val="21"/>
              </w:rPr>
              <w:t>挂钩标的上限：SPOT</w:t>
            </w:r>
            <w:r w:rsidR="0095492C">
              <w:rPr>
                <w:rFonts w:ascii="仿宋_GB2312" w:eastAsia="仿宋_GB2312" w:hAnsi="宋体" w:hint="eastAsia"/>
                <w:color w:val="000000" w:themeColor="text1"/>
                <w:sz w:val="20"/>
                <w:szCs w:val="21"/>
              </w:rPr>
              <w:t>+0.</w:t>
            </w:r>
            <w:r w:rsidR="00EA35A9">
              <w:rPr>
                <w:rFonts w:ascii="仿宋_GB2312" w:eastAsia="仿宋_GB2312" w:hAnsi="宋体" w:hint="eastAsia"/>
                <w:color w:val="000000" w:themeColor="text1"/>
                <w:sz w:val="20"/>
                <w:szCs w:val="21"/>
              </w:rPr>
              <w:t>0</w:t>
            </w:r>
            <w:r w:rsidR="00F412D0">
              <w:rPr>
                <w:rFonts w:ascii="仿宋_GB2312" w:eastAsia="仿宋_GB2312" w:hAnsi="宋体" w:hint="eastAsia"/>
                <w:color w:val="000000" w:themeColor="text1"/>
                <w:sz w:val="20"/>
                <w:szCs w:val="21"/>
              </w:rPr>
              <w:t>8</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挂钩标的期初价格</w:t>
            </w:r>
          </w:p>
        </w:tc>
        <w:tc>
          <w:tcPr>
            <w:tcW w:w="6839" w:type="dxa"/>
            <w:gridSpan w:val="2"/>
            <w:tcMar>
              <w:top w:w="15" w:type="dxa"/>
              <w:left w:w="15" w:type="dxa"/>
              <w:bottom w:w="0" w:type="dxa"/>
              <w:right w:w="15" w:type="dxa"/>
            </w:tcMar>
            <w:vAlign w:val="center"/>
          </w:tcPr>
          <w:p w:rsidR="00E44EE3" w:rsidRPr="00E31DFD" w:rsidRDefault="00380F77" w:rsidP="00C3502F">
            <w:pPr>
              <w:widowControl/>
              <w:spacing w:line="400" w:lineRule="exact"/>
              <w:contextualSpacing/>
              <w:jc w:val="left"/>
              <w:rPr>
                <w:rFonts w:ascii="仿宋_GB2312" w:eastAsia="仿宋_GB2312" w:hAnsi="宋体"/>
                <w:color w:val="000000" w:themeColor="text1"/>
                <w:sz w:val="20"/>
                <w:szCs w:val="21"/>
              </w:rPr>
            </w:pPr>
            <w:r w:rsidRPr="003B2604">
              <w:rPr>
                <w:rFonts w:ascii="仿宋_GB2312" w:eastAsia="仿宋_GB2312" w:hAnsi="宋体" w:hint="eastAsia"/>
                <w:color w:val="000000" w:themeColor="text1"/>
                <w:sz w:val="20"/>
                <w:szCs w:val="21"/>
              </w:rPr>
              <w:t>产品起息日北京时间上午10点在彭博系统“BFIX”页面上显示的每一欧元可以兑换的美元金额。</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3266B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观察</w:t>
            </w:r>
            <w:r w:rsidR="003266BB">
              <w:rPr>
                <w:rFonts w:ascii="仿宋_GB2312" w:eastAsia="仿宋_GB2312" w:hAnsi="宋体" w:hint="eastAsia"/>
                <w:b/>
                <w:color w:val="000000" w:themeColor="text1"/>
                <w:sz w:val="20"/>
                <w:szCs w:val="21"/>
              </w:rPr>
              <w:t>时点</w:t>
            </w:r>
          </w:p>
        </w:tc>
        <w:tc>
          <w:tcPr>
            <w:tcW w:w="6839" w:type="dxa"/>
            <w:gridSpan w:val="2"/>
            <w:tcMar>
              <w:top w:w="15" w:type="dxa"/>
              <w:left w:w="15" w:type="dxa"/>
              <w:bottom w:w="0" w:type="dxa"/>
              <w:right w:w="15" w:type="dxa"/>
            </w:tcMar>
            <w:vAlign w:val="center"/>
          </w:tcPr>
          <w:p w:rsidR="00E44EE3" w:rsidRPr="00E31DFD" w:rsidRDefault="006853D3" w:rsidP="00232F59">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sz w:val="20"/>
                <w:szCs w:val="21"/>
              </w:rPr>
              <w:t>202</w:t>
            </w:r>
            <w:r w:rsidR="007C3339">
              <w:rPr>
                <w:rFonts w:ascii="仿宋_GB2312" w:eastAsia="仿宋_GB2312" w:hAnsi="宋体" w:hint="eastAsia"/>
                <w:color w:val="000000"/>
                <w:sz w:val="20"/>
                <w:szCs w:val="21"/>
              </w:rPr>
              <w:t>1</w:t>
            </w:r>
            <w:r w:rsidR="00211483" w:rsidRPr="00E31DFD">
              <w:rPr>
                <w:rFonts w:ascii="仿宋_GB2312" w:eastAsia="仿宋_GB2312" w:hAnsi="宋体" w:hint="eastAsia"/>
                <w:color w:val="000000"/>
                <w:sz w:val="20"/>
                <w:szCs w:val="21"/>
              </w:rPr>
              <w:t>年</w:t>
            </w:r>
            <w:r w:rsidR="00F412D0">
              <w:rPr>
                <w:rFonts w:ascii="仿宋_GB2312" w:eastAsia="仿宋_GB2312" w:hAnsi="宋体" w:hint="eastAsia"/>
                <w:color w:val="000000"/>
                <w:sz w:val="20"/>
                <w:szCs w:val="21"/>
              </w:rPr>
              <w:t>9</w:t>
            </w:r>
            <w:r w:rsidR="00211483" w:rsidRPr="00E31DFD">
              <w:rPr>
                <w:rFonts w:ascii="仿宋_GB2312" w:eastAsia="仿宋_GB2312" w:hAnsi="宋体" w:hint="eastAsia"/>
                <w:color w:val="000000"/>
                <w:sz w:val="20"/>
                <w:szCs w:val="21"/>
              </w:rPr>
              <w:t>月</w:t>
            </w:r>
            <w:r w:rsidR="00F412D0">
              <w:rPr>
                <w:rFonts w:ascii="仿宋_GB2312" w:eastAsia="仿宋_GB2312" w:hAnsi="宋体" w:hint="eastAsia"/>
                <w:color w:val="000000"/>
                <w:sz w:val="20"/>
                <w:szCs w:val="21"/>
              </w:rPr>
              <w:t>1</w:t>
            </w:r>
            <w:r w:rsidR="00B50ECA">
              <w:rPr>
                <w:rFonts w:ascii="仿宋_GB2312" w:eastAsia="仿宋_GB2312" w:hAnsi="宋体" w:hint="eastAsia"/>
                <w:color w:val="000000"/>
                <w:sz w:val="20"/>
                <w:szCs w:val="21"/>
              </w:rPr>
              <w:t>0</w:t>
            </w:r>
            <w:r w:rsidR="00211483" w:rsidRPr="00E31DFD">
              <w:rPr>
                <w:rFonts w:ascii="仿宋_GB2312" w:eastAsia="仿宋_GB2312" w:hAnsi="宋体" w:hint="eastAsia"/>
                <w:color w:val="000000"/>
                <w:sz w:val="20"/>
                <w:szCs w:val="21"/>
              </w:rPr>
              <w:t>日</w:t>
            </w:r>
            <w:r w:rsidR="003266BB">
              <w:rPr>
                <w:rFonts w:ascii="仿宋_GB2312" w:eastAsia="仿宋_GB2312" w:hAnsi="宋体" w:hint="eastAsia"/>
                <w:color w:val="000000"/>
                <w:sz w:val="20"/>
                <w:szCs w:val="21"/>
              </w:rPr>
              <w:t>北京时间14:00</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预期年化收益率计算</w:t>
            </w:r>
          </w:p>
        </w:tc>
        <w:tc>
          <w:tcPr>
            <w:tcW w:w="6839" w:type="dxa"/>
            <w:gridSpan w:val="2"/>
            <w:tcMar>
              <w:top w:w="15" w:type="dxa"/>
              <w:left w:w="15" w:type="dxa"/>
              <w:bottom w:w="0" w:type="dxa"/>
              <w:right w:w="15" w:type="dxa"/>
            </w:tcMar>
            <w:vAlign w:val="center"/>
          </w:tcPr>
          <w:p w:rsidR="003266BB" w:rsidRPr="003266BB" w:rsidRDefault="003266BB" w:rsidP="003266BB">
            <w:pPr>
              <w:widowControl/>
              <w:contextualSpacing/>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本产品保证投资者本金安全，并根据说明书的相关约定，按照挂钩标的的价格表现，向投资者支付浮动利息。预期浮动利率范围：</w:t>
            </w:r>
            <w:r w:rsidR="00BF32B7">
              <w:rPr>
                <w:rFonts w:ascii="仿宋_GB2312" w:eastAsia="仿宋_GB2312" w:hAnsi="宋体"/>
                <w:color w:val="000000"/>
                <w:sz w:val="20"/>
                <w:szCs w:val="21"/>
              </w:rPr>
              <w:t>1.</w:t>
            </w:r>
            <w:r w:rsidR="00F412D0">
              <w:rPr>
                <w:rFonts w:ascii="仿宋_GB2312" w:eastAsia="仿宋_GB2312" w:hAnsi="宋体" w:hint="eastAsia"/>
                <w:color w:val="000000"/>
                <w:sz w:val="20"/>
                <w:szCs w:val="21"/>
              </w:rPr>
              <w:t>7</w:t>
            </w:r>
            <w:r w:rsidR="00C0505E">
              <w:rPr>
                <w:rFonts w:ascii="仿宋_GB2312" w:eastAsia="仿宋_GB2312" w:hAnsi="宋体" w:hint="eastAsia"/>
                <w:color w:val="000000"/>
                <w:sz w:val="20"/>
                <w:szCs w:val="21"/>
              </w:rPr>
              <w:t>0</w:t>
            </w:r>
            <w:r w:rsidR="00B540B2" w:rsidRPr="003266BB">
              <w:rPr>
                <w:rFonts w:ascii="仿宋_GB2312" w:eastAsia="仿宋_GB2312" w:hAnsi="宋体" w:hint="eastAsia"/>
                <w:color w:val="000000"/>
                <w:sz w:val="20"/>
                <w:szCs w:val="21"/>
              </w:rPr>
              <w:t>%</w:t>
            </w:r>
            <w:r w:rsidRPr="003266BB">
              <w:rPr>
                <w:rFonts w:ascii="仿宋_GB2312" w:eastAsia="仿宋_GB2312" w:hAnsi="宋体" w:hint="eastAsia"/>
                <w:color w:val="000000"/>
                <w:sz w:val="20"/>
                <w:szCs w:val="21"/>
              </w:rPr>
              <w:t>或</w:t>
            </w:r>
            <w:r w:rsidR="00F412D0">
              <w:rPr>
                <w:rFonts w:ascii="仿宋_GB2312" w:eastAsia="仿宋_GB2312" w:hAnsi="宋体" w:hint="eastAsia"/>
                <w:color w:val="000000"/>
                <w:sz w:val="20"/>
                <w:szCs w:val="21"/>
              </w:rPr>
              <w:t>2.8</w:t>
            </w:r>
            <w:r w:rsidR="0095492C">
              <w:rPr>
                <w:rFonts w:ascii="仿宋_GB2312" w:eastAsia="仿宋_GB2312" w:hAnsi="宋体" w:hint="eastAsia"/>
                <w:color w:val="000000"/>
                <w:sz w:val="20"/>
                <w:szCs w:val="21"/>
              </w:rPr>
              <w:t>0</w:t>
            </w:r>
            <w:r>
              <w:rPr>
                <w:rFonts w:ascii="仿宋_GB2312" w:eastAsia="仿宋_GB2312" w:hAnsi="宋体" w:hint="eastAsia"/>
                <w:color w:val="000000"/>
                <w:sz w:val="20"/>
                <w:szCs w:val="21"/>
              </w:rPr>
              <w:t>%</w:t>
            </w:r>
            <w:r w:rsidRPr="003266BB">
              <w:rPr>
                <w:rFonts w:ascii="仿宋_GB2312" w:eastAsia="仿宋_GB2312" w:hAnsi="宋体" w:hint="eastAsia"/>
                <w:color w:val="000000"/>
                <w:sz w:val="20"/>
                <w:szCs w:val="21"/>
              </w:rPr>
              <w:t>或3.</w:t>
            </w:r>
            <w:r w:rsidR="00F412D0">
              <w:rPr>
                <w:rFonts w:ascii="仿宋_GB2312" w:eastAsia="仿宋_GB2312" w:hAnsi="宋体" w:hint="eastAsia"/>
                <w:color w:val="000000"/>
                <w:sz w:val="20"/>
                <w:szCs w:val="21"/>
              </w:rPr>
              <w:t>0</w:t>
            </w:r>
            <w:r w:rsidRPr="003266BB">
              <w:rPr>
                <w:rFonts w:ascii="仿宋_GB2312" w:eastAsia="仿宋_GB2312" w:hAnsi="宋体" w:hint="eastAsia"/>
                <w:color w:val="000000"/>
                <w:sz w:val="20"/>
                <w:szCs w:val="21"/>
              </w:rPr>
              <w:t>0%（年化），在最不利的情况下，本存款到期利率为</w:t>
            </w:r>
            <w:r w:rsidR="00F412D0">
              <w:rPr>
                <w:rFonts w:ascii="仿宋_GB2312" w:eastAsia="仿宋_GB2312" w:hAnsi="宋体"/>
                <w:color w:val="000000"/>
                <w:sz w:val="20"/>
                <w:szCs w:val="21"/>
              </w:rPr>
              <w:t>1.</w:t>
            </w:r>
            <w:r w:rsidR="00F412D0">
              <w:rPr>
                <w:rFonts w:ascii="仿宋_GB2312" w:eastAsia="仿宋_GB2312" w:hAnsi="宋体" w:hint="eastAsia"/>
                <w:color w:val="000000"/>
                <w:sz w:val="20"/>
                <w:szCs w:val="21"/>
              </w:rPr>
              <w:t>7</w:t>
            </w:r>
            <w:r w:rsidR="00C0505E">
              <w:rPr>
                <w:rFonts w:ascii="仿宋_GB2312" w:eastAsia="仿宋_GB2312" w:hAnsi="宋体" w:hint="eastAsia"/>
                <w:color w:val="000000"/>
                <w:sz w:val="20"/>
                <w:szCs w:val="21"/>
              </w:rPr>
              <w:t>0</w:t>
            </w:r>
            <w:r w:rsidRPr="003266BB">
              <w:rPr>
                <w:rFonts w:ascii="仿宋_GB2312" w:eastAsia="仿宋_GB2312" w:hAnsi="宋体" w:hint="eastAsia"/>
                <w:color w:val="000000"/>
                <w:sz w:val="20"/>
                <w:szCs w:val="21"/>
              </w:rPr>
              <w:t>% (年化)。</w:t>
            </w:r>
            <w:r w:rsidRPr="00E31DFD">
              <w:rPr>
                <w:rFonts w:ascii="仿宋_GB2312" w:eastAsia="仿宋_GB2312" w:hAnsi="宋体" w:hint="eastAsia"/>
                <w:color w:val="000000" w:themeColor="text1"/>
                <w:sz w:val="20"/>
                <w:szCs w:val="21"/>
              </w:rPr>
              <w:t>预测收益不等于实际收益，请以实际到期收益率为准。</w:t>
            </w:r>
          </w:p>
          <w:p w:rsidR="003266BB" w:rsidRPr="003266BB" w:rsidRDefault="003266BB" w:rsidP="003266BB">
            <w:pPr>
              <w:autoSpaceDE w:val="0"/>
              <w:autoSpaceDN w:val="0"/>
              <w:ind w:left="500" w:hangingChars="250" w:hanging="500"/>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（1）若观察时点高于观察标的上限，则</w:t>
            </w:r>
            <w:r>
              <w:rPr>
                <w:rFonts w:ascii="仿宋_GB2312" w:eastAsia="仿宋_GB2312" w:hAnsi="宋体" w:hint="eastAsia"/>
                <w:color w:val="000000"/>
                <w:sz w:val="20"/>
                <w:szCs w:val="21"/>
              </w:rPr>
              <w:t>投资者</w:t>
            </w:r>
            <w:r w:rsidRPr="003266BB">
              <w:rPr>
                <w:rFonts w:ascii="仿宋_GB2312" w:eastAsia="仿宋_GB2312" w:hAnsi="宋体" w:hint="eastAsia"/>
                <w:color w:val="000000"/>
                <w:sz w:val="20"/>
                <w:szCs w:val="21"/>
              </w:rPr>
              <w:t>年化收益率为</w:t>
            </w:r>
            <w:r w:rsidR="00F412D0">
              <w:rPr>
                <w:rFonts w:ascii="仿宋_GB2312" w:eastAsia="仿宋_GB2312" w:hAnsi="宋体" w:hint="eastAsia"/>
                <w:color w:val="000000"/>
                <w:sz w:val="20"/>
                <w:szCs w:val="21"/>
              </w:rPr>
              <w:t>1.7</w:t>
            </w:r>
            <w:r w:rsidR="00BF32B7">
              <w:rPr>
                <w:rFonts w:ascii="仿宋_GB2312" w:eastAsia="仿宋_GB2312" w:hAnsi="宋体" w:hint="eastAsia"/>
                <w:color w:val="000000"/>
                <w:sz w:val="20"/>
                <w:szCs w:val="21"/>
              </w:rPr>
              <w:t>0</w:t>
            </w:r>
            <w:r w:rsidR="00B540B2" w:rsidRPr="003266BB">
              <w:rPr>
                <w:rFonts w:ascii="仿宋_GB2312" w:eastAsia="仿宋_GB2312" w:hAnsi="宋体" w:hint="eastAsia"/>
                <w:color w:val="000000"/>
                <w:sz w:val="20"/>
                <w:szCs w:val="21"/>
              </w:rPr>
              <w:t>%</w:t>
            </w:r>
            <w:r w:rsidRPr="003266BB">
              <w:rPr>
                <w:rFonts w:ascii="仿宋_GB2312" w:eastAsia="仿宋_GB2312" w:hAnsi="宋体" w:hint="eastAsia"/>
                <w:color w:val="000000"/>
                <w:sz w:val="20"/>
                <w:szCs w:val="21"/>
              </w:rPr>
              <w:t xml:space="preserve"> ；</w:t>
            </w:r>
          </w:p>
          <w:p w:rsidR="003266BB" w:rsidRPr="003266BB" w:rsidRDefault="003266BB" w:rsidP="003266BB">
            <w:pPr>
              <w:autoSpaceDE w:val="0"/>
              <w:autoSpaceDN w:val="0"/>
              <w:ind w:left="500" w:hangingChars="250" w:hanging="500"/>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（2）若观察时点观察标的</w:t>
            </w:r>
            <w:r w:rsidR="000826E2">
              <w:rPr>
                <w:rFonts w:ascii="仿宋_GB2312" w:eastAsia="仿宋_GB2312" w:hAnsi="宋体" w:hint="eastAsia"/>
                <w:color w:val="000000"/>
                <w:sz w:val="20"/>
                <w:szCs w:val="21"/>
              </w:rPr>
              <w:t>高于等于</w:t>
            </w:r>
            <w:r w:rsidRPr="003266BB">
              <w:rPr>
                <w:rFonts w:ascii="仿宋_GB2312" w:eastAsia="仿宋_GB2312" w:hAnsi="宋体" w:hint="eastAsia"/>
                <w:color w:val="000000"/>
                <w:sz w:val="20"/>
                <w:szCs w:val="21"/>
              </w:rPr>
              <w:t>观察标的下限且</w:t>
            </w:r>
            <w:r w:rsidR="000826E2">
              <w:rPr>
                <w:rFonts w:ascii="仿宋_GB2312" w:eastAsia="仿宋_GB2312" w:hAnsi="宋体" w:hint="eastAsia"/>
                <w:color w:val="000000"/>
                <w:sz w:val="20"/>
                <w:szCs w:val="21"/>
              </w:rPr>
              <w:t>低于等于</w:t>
            </w:r>
            <w:r w:rsidRPr="003266BB">
              <w:rPr>
                <w:rFonts w:ascii="仿宋_GB2312" w:eastAsia="仿宋_GB2312" w:hAnsi="宋体" w:hint="eastAsia"/>
                <w:color w:val="000000"/>
                <w:sz w:val="20"/>
                <w:szCs w:val="21"/>
              </w:rPr>
              <w:t>观察标的上限，则</w:t>
            </w:r>
            <w:r>
              <w:rPr>
                <w:rFonts w:ascii="仿宋_GB2312" w:eastAsia="仿宋_GB2312" w:hAnsi="宋体" w:hint="eastAsia"/>
                <w:color w:val="000000"/>
                <w:sz w:val="20"/>
                <w:szCs w:val="21"/>
              </w:rPr>
              <w:t>投资者</w:t>
            </w:r>
            <w:r w:rsidRPr="003266BB">
              <w:rPr>
                <w:rFonts w:ascii="仿宋_GB2312" w:eastAsia="仿宋_GB2312" w:hAnsi="宋体" w:hint="eastAsia"/>
                <w:color w:val="000000"/>
                <w:sz w:val="20"/>
                <w:szCs w:val="21"/>
              </w:rPr>
              <w:t>年化收益率为</w:t>
            </w:r>
            <w:r w:rsidR="00F412D0">
              <w:rPr>
                <w:rFonts w:ascii="仿宋_GB2312" w:eastAsia="仿宋_GB2312" w:hAnsi="宋体" w:hint="eastAsia"/>
                <w:color w:val="000000"/>
                <w:sz w:val="20"/>
                <w:szCs w:val="21"/>
              </w:rPr>
              <w:t>2.8</w:t>
            </w:r>
            <w:r w:rsidR="00BF32B7">
              <w:rPr>
                <w:rFonts w:ascii="仿宋_GB2312" w:eastAsia="仿宋_GB2312" w:hAnsi="宋体"/>
                <w:color w:val="000000"/>
                <w:sz w:val="20"/>
                <w:szCs w:val="21"/>
              </w:rPr>
              <w:t>0</w:t>
            </w:r>
            <w:r w:rsidRPr="003266BB">
              <w:rPr>
                <w:rFonts w:ascii="仿宋_GB2312" w:eastAsia="仿宋_GB2312" w:hAnsi="宋体" w:hint="eastAsia"/>
                <w:color w:val="000000"/>
                <w:sz w:val="20"/>
                <w:szCs w:val="21"/>
              </w:rPr>
              <w:t>%。</w:t>
            </w:r>
          </w:p>
          <w:p w:rsidR="00E44EE3" w:rsidRPr="003266BB" w:rsidRDefault="003266BB" w:rsidP="00232F59">
            <w:pPr>
              <w:autoSpaceDE w:val="0"/>
              <w:autoSpaceDN w:val="0"/>
              <w:ind w:left="500" w:hangingChars="250" w:hanging="500"/>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（3）若观察时点观察标的低于观察标的下限，则</w:t>
            </w:r>
            <w:r>
              <w:rPr>
                <w:rFonts w:ascii="仿宋_GB2312" w:eastAsia="仿宋_GB2312" w:hAnsi="宋体" w:hint="eastAsia"/>
                <w:color w:val="000000"/>
                <w:sz w:val="20"/>
                <w:szCs w:val="21"/>
              </w:rPr>
              <w:t>投资者</w:t>
            </w:r>
            <w:r w:rsidRPr="003266BB">
              <w:rPr>
                <w:rFonts w:ascii="仿宋_GB2312" w:eastAsia="仿宋_GB2312" w:hAnsi="宋体" w:hint="eastAsia"/>
                <w:color w:val="000000"/>
                <w:sz w:val="20"/>
                <w:szCs w:val="21"/>
              </w:rPr>
              <w:t>年化收益率为</w:t>
            </w:r>
            <w:r w:rsidR="00F412D0">
              <w:rPr>
                <w:rFonts w:ascii="仿宋_GB2312" w:eastAsia="仿宋_GB2312" w:hAnsi="宋体" w:hint="eastAsia"/>
                <w:color w:val="000000"/>
                <w:sz w:val="20"/>
                <w:szCs w:val="21"/>
              </w:rPr>
              <w:t>3.0</w:t>
            </w:r>
            <w:r w:rsidR="00BF32B7">
              <w:rPr>
                <w:rFonts w:ascii="仿宋_GB2312" w:eastAsia="仿宋_GB2312" w:hAnsi="宋体" w:hint="eastAsia"/>
                <w:color w:val="000000"/>
                <w:sz w:val="20"/>
                <w:szCs w:val="21"/>
              </w:rPr>
              <w:t>0</w:t>
            </w:r>
            <w:r w:rsidRPr="003266BB">
              <w:rPr>
                <w:rFonts w:ascii="仿宋_GB2312" w:eastAsia="仿宋_GB2312" w:hAnsi="宋体" w:hint="eastAsia"/>
                <w:color w:val="000000"/>
                <w:sz w:val="20"/>
                <w:szCs w:val="21"/>
              </w:rPr>
              <w:t>% ；</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预期收益</w:t>
            </w:r>
          </w:p>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计算方式</w:t>
            </w:r>
          </w:p>
        </w:tc>
        <w:tc>
          <w:tcPr>
            <w:tcW w:w="6839" w:type="dxa"/>
            <w:gridSpan w:val="2"/>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预期收益=产品本金</w:t>
            </w:r>
            <w:r w:rsidRPr="00E31DFD">
              <w:rPr>
                <w:rFonts w:ascii="仿宋_GB2312" w:eastAsia="仿宋_GB2312" w:hAnsi="宋体" w:hint="eastAsia"/>
                <w:color w:val="000000" w:themeColor="text1"/>
                <w:sz w:val="20"/>
                <w:szCs w:val="21"/>
              </w:rPr>
              <w:sym w:font="Wingdings 2" w:char="F0CD"/>
            </w:r>
            <w:r w:rsidRPr="00E31DFD">
              <w:rPr>
                <w:rFonts w:ascii="仿宋_GB2312" w:eastAsia="仿宋_GB2312" w:hAnsi="宋体" w:hint="eastAsia"/>
                <w:color w:val="000000" w:themeColor="text1"/>
                <w:sz w:val="20"/>
                <w:szCs w:val="21"/>
              </w:rPr>
              <w:t>预期年化收益率</w:t>
            </w:r>
            <w:r w:rsidRPr="00E31DFD">
              <w:rPr>
                <w:rFonts w:ascii="仿宋_GB2312" w:eastAsia="仿宋_GB2312" w:hAnsi="宋体" w:hint="eastAsia"/>
                <w:color w:val="000000" w:themeColor="text1"/>
                <w:sz w:val="20"/>
                <w:szCs w:val="21"/>
              </w:rPr>
              <w:sym w:font="Wingdings 2" w:char="F0CD"/>
            </w:r>
            <w:r w:rsidRPr="00E31DFD">
              <w:rPr>
                <w:rFonts w:ascii="仿宋_GB2312" w:eastAsia="仿宋_GB2312" w:hAnsi="宋体" w:hint="eastAsia"/>
                <w:color w:val="000000" w:themeColor="text1"/>
                <w:sz w:val="20"/>
                <w:szCs w:val="21"/>
              </w:rPr>
              <w:t>产品实际天数/365,精确到小数点后2位，具体以实际到账金额为准。</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522460"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w:t>
            </w:r>
            <w:r w:rsidR="00E44EE3" w:rsidRPr="00E31DFD">
              <w:rPr>
                <w:rFonts w:ascii="仿宋_GB2312" w:eastAsia="仿宋_GB2312" w:hAnsi="宋体" w:hint="eastAsia"/>
                <w:b/>
                <w:color w:val="000000" w:themeColor="text1"/>
                <w:sz w:val="20"/>
                <w:szCs w:val="21"/>
              </w:rPr>
              <w:t>实际天数</w:t>
            </w:r>
          </w:p>
        </w:tc>
        <w:tc>
          <w:tcPr>
            <w:tcW w:w="6839" w:type="dxa"/>
            <w:gridSpan w:val="2"/>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从起息日（含）至到期日或提前终止日（不含）</w:t>
            </w:r>
            <w:r w:rsidR="00690E68" w:rsidRPr="00E31DFD">
              <w:rPr>
                <w:rFonts w:ascii="仿宋_GB2312" w:eastAsia="仿宋_GB2312" w:hAnsi="宋体" w:hint="eastAsia"/>
                <w:color w:val="000000" w:themeColor="text1"/>
                <w:sz w:val="20"/>
                <w:szCs w:val="21"/>
              </w:rPr>
              <w:t>。</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本金和收益支付</w:t>
            </w:r>
          </w:p>
        </w:tc>
        <w:tc>
          <w:tcPr>
            <w:tcW w:w="6839" w:type="dxa"/>
            <w:gridSpan w:val="2"/>
            <w:tcMar>
              <w:top w:w="15" w:type="dxa"/>
              <w:left w:w="15" w:type="dxa"/>
              <w:bottom w:w="0" w:type="dxa"/>
              <w:right w:w="15" w:type="dxa"/>
            </w:tcMar>
            <w:vAlign w:val="center"/>
          </w:tcPr>
          <w:p w:rsidR="00E44EE3" w:rsidRPr="00E31DFD" w:rsidRDefault="00E44EE3" w:rsidP="00E10BCE">
            <w:pPr>
              <w:autoSpaceDE w:val="0"/>
              <w:autoSpaceDN w:val="0"/>
              <w:spacing w:line="400" w:lineRule="exact"/>
              <w:jc w:val="left"/>
              <w:rPr>
                <w:rFonts w:ascii="仿宋_GB2312" w:eastAsia="仿宋_GB2312" w:hAnsi="¿¬Ìå_GB2312" w:cs="¿¬Ìå_GB2312"/>
                <w:color w:val="000000" w:themeColor="text1"/>
                <w:sz w:val="20"/>
                <w:szCs w:val="21"/>
              </w:rPr>
            </w:pPr>
            <w:r w:rsidRPr="00E31DFD">
              <w:rPr>
                <w:rFonts w:ascii="仿宋_GB2312" w:eastAsia="仿宋_GB2312" w:cs="楷体_GB2312" w:hint="eastAsia"/>
                <w:color w:val="000000" w:themeColor="text1"/>
                <w:sz w:val="20"/>
                <w:szCs w:val="21"/>
              </w:rPr>
              <w:t>投资者的本金及</w:t>
            </w:r>
            <w:r w:rsidR="005A2B5B" w:rsidRPr="00E31DFD">
              <w:rPr>
                <w:rFonts w:ascii="仿宋_GB2312" w:eastAsia="仿宋_GB2312" w:cs="楷体_GB2312" w:hint="eastAsia"/>
                <w:color w:val="000000" w:themeColor="text1"/>
                <w:sz w:val="20"/>
                <w:szCs w:val="21"/>
              </w:rPr>
              <w:t>收益</w:t>
            </w:r>
            <w:r w:rsidRPr="00E31DFD">
              <w:rPr>
                <w:rFonts w:ascii="仿宋_GB2312" w:eastAsia="仿宋_GB2312" w:cs="楷体_GB2312" w:hint="eastAsia"/>
                <w:color w:val="000000" w:themeColor="text1"/>
                <w:sz w:val="20"/>
                <w:szCs w:val="21"/>
              </w:rPr>
              <w:t>在产品到期后</w:t>
            </w:r>
            <w:r w:rsidR="00FA49AF" w:rsidRPr="00E31DFD">
              <w:rPr>
                <w:rFonts w:ascii="仿宋_GB2312" w:eastAsia="仿宋_GB2312" w:cs="楷体_GB2312" w:hint="eastAsia"/>
                <w:color w:val="000000" w:themeColor="text1"/>
                <w:sz w:val="20"/>
                <w:szCs w:val="21"/>
              </w:rPr>
              <w:t>或提前终止后</w:t>
            </w:r>
            <w:r w:rsidRPr="00E31DFD">
              <w:rPr>
                <w:rFonts w:ascii="仿宋_GB2312" w:eastAsia="仿宋_GB2312" w:cs="楷体_GB2312" w:hint="eastAsia"/>
                <w:color w:val="000000" w:themeColor="text1"/>
                <w:sz w:val="20"/>
                <w:szCs w:val="21"/>
              </w:rPr>
              <w:t>一次性兑付。杭州联合银行</w:t>
            </w:r>
            <w:r w:rsidRPr="00E31DFD">
              <w:rPr>
                <w:rFonts w:ascii="仿宋_GB2312" w:eastAsia="仿宋_GB2312" w:hAnsi="¿¬Ìå_GB2312" w:cs="¿¬Ìå_GB2312" w:hint="eastAsia"/>
                <w:color w:val="000000" w:themeColor="text1"/>
                <w:sz w:val="20"/>
                <w:szCs w:val="21"/>
              </w:rPr>
              <w:t>在</w:t>
            </w:r>
            <w:r w:rsidR="00E10BCE" w:rsidRPr="00E31DFD">
              <w:rPr>
                <w:rFonts w:ascii="仿宋_GB2312" w:eastAsia="仿宋_GB2312" w:hAnsi="¿¬Ìå_GB2312" w:cs="¿¬Ìå_GB2312" w:hint="eastAsia"/>
                <w:color w:val="000000" w:themeColor="text1"/>
                <w:sz w:val="20"/>
                <w:szCs w:val="21"/>
              </w:rPr>
              <w:t>产品到期日或提前终止日后的</w:t>
            </w:r>
            <w:r w:rsidRPr="00E31DFD">
              <w:rPr>
                <w:rFonts w:ascii="仿宋_GB2312" w:eastAsia="仿宋_GB2312" w:hAnsi="¿¬Ìå_GB2312" w:cs="¿¬Ìå_GB2312" w:hint="eastAsia"/>
                <w:color w:val="000000" w:themeColor="text1"/>
                <w:sz w:val="20"/>
                <w:szCs w:val="21"/>
              </w:rPr>
              <w:t>2个工作日内，向本产品</w:t>
            </w:r>
            <w:r w:rsidR="00337631" w:rsidRPr="00E31DFD">
              <w:rPr>
                <w:rFonts w:ascii="仿宋_GB2312" w:eastAsia="仿宋_GB2312" w:hAnsi="¿¬Ìå_GB2312" w:cs="¿¬Ìå_GB2312" w:hint="eastAsia"/>
                <w:color w:val="000000" w:themeColor="text1"/>
                <w:sz w:val="20"/>
                <w:szCs w:val="21"/>
              </w:rPr>
              <w:t>投资者</w:t>
            </w:r>
            <w:r w:rsidRPr="00E31DFD">
              <w:rPr>
                <w:rFonts w:ascii="仿宋_GB2312" w:eastAsia="仿宋_GB2312" w:hAnsi="¿¬Ìå_GB2312" w:cs="¿¬Ìå_GB2312" w:hint="eastAsia"/>
                <w:color w:val="000000" w:themeColor="text1"/>
                <w:sz w:val="20"/>
                <w:szCs w:val="21"/>
              </w:rPr>
              <w:t>进行本金及</w:t>
            </w:r>
            <w:r w:rsidR="005A2B5B" w:rsidRPr="00E31DFD">
              <w:rPr>
                <w:rFonts w:ascii="仿宋_GB2312" w:eastAsia="仿宋_GB2312" w:hAnsi="¿¬Ìå_GB2312" w:cs="¿¬Ìå_GB2312" w:hint="eastAsia"/>
                <w:color w:val="000000" w:themeColor="text1"/>
                <w:sz w:val="20"/>
                <w:szCs w:val="21"/>
              </w:rPr>
              <w:t>收益</w:t>
            </w:r>
            <w:r w:rsidRPr="00E31DFD">
              <w:rPr>
                <w:rFonts w:ascii="仿宋_GB2312" w:eastAsia="仿宋_GB2312" w:hAnsi="¿¬Ìå_GB2312" w:cs="¿¬Ìå_GB2312" w:hint="eastAsia"/>
                <w:color w:val="000000" w:themeColor="text1"/>
                <w:sz w:val="20"/>
                <w:szCs w:val="21"/>
              </w:rPr>
              <w:t>支付。</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提前终止权</w:t>
            </w:r>
          </w:p>
        </w:tc>
        <w:tc>
          <w:tcPr>
            <w:tcW w:w="6839" w:type="dxa"/>
            <w:gridSpan w:val="2"/>
            <w:tcMar>
              <w:top w:w="15" w:type="dxa"/>
              <w:left w:w="15" w:type="dxa"/>
              <w:bottom w:w="0" w:type="dxa"/>
              <w:right w:w="15" w:type="dxa"/>
            </w:tcMar>
            <w:vAlign w:val="center"/>
          </w:tcPr>
          <w:p w:rsidR="00E44EE3" w:rsidRPr="00E31DFD" w:rsidRDefault="00E44EE3" w:rsidP="007F4CCF">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产品</w:t>
            </w:r>
            <w:r w:rsidR="003D7F09" w:rsidRPr="00E31DFD">
              <w:rPr>
                <w:rFonts w:ascii="仿宋_GB2312" w:eastAsia="仿宋_GB2312" w:hAnsi="宋体" w:hint="eastAsia"/>
                <w:color w:val="000000" w:themeColor="text1"/>
                <w:sz w:val="20"/>
                <w:szCs w:val="21"/>
              </w:rPr>
              <w:t>起息后</w:t>
            </w:r>
            <w:r w:rsidRPr="00E31DFD">
              <w:rPr>
                <w:rFonts w:ascii="仿宋_GB2312" w:eastAsia="仿宋_GB2312" w:hAnsi="宋体" w:hint="eastAsia"/>
                <w:color w:val="000000" w:themeColor="text1"/>
                <w:sz w:val="20"/>
                <w:szCs w:val="21"/>
              </w:rPr>
              <w:t>存续期内，</w:t>
            </w:r>
            <w:r w:rsidR="007F4CCF" w:rsidRPr="00E31DFD">
              <w:rPr>
                <w:rFonts w:ascii="仿宋_GB2312" w:eastAsia="仿宋_GB2312" w:hAnsi="宋体" w:hint="eastAsia"/>
                <w:color w:val="000000" w:themeColor="text1"/>
                <w:sz w:val="20"/>
                <w:szCs w:val="21"/>
              </w:rPr>
              <w:t>投资者</w:t>
            </w:r>
            <w:r w:rsidRPr="00E31DFD">
              <w:rPr>
                <w:rFonts w:ascii="仿宋_GB2312" w:eastAsia="仿宋_GB2312" w:hAnsi="宋体" w:hint="eastAsia"/>
                <w:color w:val="000000" w:themeColor="text1"/>
                <w:sz w:val="20"/>
                <w:szCs w:val="21"/>
              </w:rPr>
              <w:t>无权提前终止本产品。如遇法律法规、监管规定等出现重大事项，杭州联合银行有权提前终止本产品。</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销售渠道</w:t>
            </w:r>
          </w:p>
        </w:tc>
        <w:tc>
          <w:tcPr>
            <w:tcW w:w="6839" w:type="dxa"/>
            <w:gridSpan w:val="2"/>
            <w:tcMar>
              <w:top w:w="15" w:type="dxa"/>
              <w:left w:w="15" w:type="dxa"/>
              <w:bottom w:w="0" w:type="dxa"/>
              <w:right w:w="15" w:type="dxa"/>
            </w:tcMar>
            <w:vAlign w:val="center"/>
          </w:tcPr>
          <w:p w:rsidR="00E44EE3" w:rsidRPr="00E31DFD" w:rsidRDefault="00E44EE3" w:rsidP="005A2B5B">
            <w:pPr>
              <w:spacing w:line="400" w:lineRule="exact"/>
              <w:jc w:val="left"/>
              <w:rPr>
                <w:rFonts w:ascii="仿宋_GB2312" w:eastAsia="仿宋_GB2312" w:hAnsi="宋体" w:cs="楷体_GB2312"/>
                <w:color w:val="000000" w:themeColor="text1"/>
                <w:sz w:val="20"/>
                <w:szCs w:val="21"/>
              </w:rPr>
            </w:pPr>
            <w:r w:rsidRPr="00E31DFD">
              <w:rPr>
                <w:rFonts w:ascii="仿宋_GB2312" w:eastAsia="仿宋_GB2312" w:hAnsi="宋体" w:cs="楷体_GB2312" w:hint="eastAsia"/>
                <w:color w:val="000000" w:themeColor="text1"/>
                <w:sz w:val="20"/>
                <w:szCs w:val="21"/>
              </w:rPr>
              <w:t>营业网点柜面销售</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autoSpaceDE w:val="0"/>
              <w:autoSpaceDN w:val="0"/>
              <w:spacing w:line="400" w:lineRule="exact"/>
              <w:jc w:val="left"/>
              <w:rPr>
                <w:rFonts w:ascii="仿宋_GB2312" w:eastAsia="仿宋_GB2312" w:hAnsi="宋体" w:cs="楷体_GB2312"/>
                <w:b/>
                <w:color w:val="000000" w:themeColor="text1"/>
                <w:sz w:val="20"/>
                <w:szCs w:val="21"/>
              </w:rPr>
            </w:pPr>
            <w:r w:rsidRPr="00E31DFD">
              <w:rPr>
                <w:rFonts w:ascii="仿宋_GB2312" w:eastAsia="仿宋_GB2312" w:hAnsi="宋体" w:cs="楷体_GB2312" w:hint="eastAsia"/>
                <w:b/>
                <w:color w:val="000000" w:themeColor="text1"/>
                <w:sz w:val="20"/>
                <w:szCs w:val="21"/>
              </w:rPr>
              <w:t>产品风险提示</w:t>
            </w:r>
          </w:p>
        </w:tc>
        <w:tc>
          <w:tcPr>
            <w:tcW w:w="6839" w:type="dxa"/>
            <w:gridSpan w:val="2"/>
            <w:tcMar>
              <w:top w:w="15" w:type="dxa"/>
              <w:left w:w="15" w:type="dxa"/>
              <w:bottom w:w="0" w:type="dxa"/>
              <w:right w:w="15" w:type="dxa"/>
            </w:tcMar>
            <w:vAlign w:val="center"/>
          </w:tcPr>
          <w:p w:rsidR="00E44EE3" w:rsidRPr="00E31DFD" w:rsidRDefault="00E44EE3" w:rsidP="007B5E69">
            <w:pPr>
              <w:spacing w:line="400" w:lineRule="exact"/>
              <w:jc w:val="left"/>
              <w:rPr>
                <w:rFonts w:ascii="仿宋_GB2312" w:eastAsia="仿宋_GB2312" w:hAnsi="宋体" w:cs="楷体_GB2312"/>
                <w:color w:val="000000" w:themeColor="text1"/>
                <w:sz w:val="20"/>
                <w:szCs w:val="21"/>
              </w:rPr>
            </w:pPr>
            <w:r w:rsidRPr="00E31DFD">
              <w:rPr>
                <w:rFonts w:ascii="仿宋_GB2312" w:eastAsia="仿宋_GB2312" w:hAnsi="宋体" w:cs="楷体_GB2312" w:hint="eastAsia"/>
                <w:color w:val="000000" w:themeColor="text1"/>
                <w:sz w:val="20"/>
                <w:szCs w:val="21"/>
              </w:rPr>
              <w:t>本产品有风险，详见</w:t>
            </w:r>
            <w:r w:rsidR="007B5E69" w:rsidRPr="00E31DFD">
              <w:rPr>
                <w:rFonts w:ascii="仿宋_GB2312" w:eastAsia="仿宋_GB2312" w:hAnsi="宋体" w:cs="楷体_GB2312" w:hint="eastAsia"/>
                <w:color w:val="000000" w:themeColor="text1"/>
                <w:sz w:val="20"/>
                <w:szCs w:val="21"/>
              </w:rPr>
              <w:t>产品《</w:t>
            </w:r>
            <w:r w:rsidRPr="00E31DFD">
              <w:rPr>
                <w:rFonts w:ascii="仿宋_GB2312" w:eastAsia="仿宋_GB2312" w:hAnsi="宋体" w:cs="楷体_GB2312" w:hint="eastAsia"/>
                <w:color w:val="000000" w:themeColor="text1"/>
                <w:sz w:val="20"/>
                <w:szCs w:val="21"/>
              </w:rPr>
              <w:t>风险揭示书</w:t>
            </w:r>
            <w:r w:rsidR="007B5E69" w:rsidRPr="00E31DFD">
              <w:rPr>
                <w:rFonts w:ascii="仿宋_GB2312" w:eastAsia="仿宋_GB2312" w:hAnsi="宋体" w:cs="楷体_GB2312" w:hint="eastAsia"/>
                <w:color w:val="000000" w:themeColor="text1"/>
                <w:sz w:val="20"/>
                <w:szCs w:val="21"/>
              </w:rPr>
              <w:t>》</w:t>
            </w:r>
            <w:r w:rsidRPr="00E31DFD">
              <w:rPr>
                <w:rFonts w:ascii="仿宋_GB2312" w:eastAsia="仿宋_GB2312" w:hAnsi="宋体" w:cs="楷体_GB2312" w:hint="eastAsia"/>
                <w:color w:val="000000" w:themeColor="text1"/>
                <w:sz w:val="20"/>
                <w:szCs w:val="21"/>
              </w:rPr>
              <w:t>。</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lastRenderedPageBreak/>
              <w:t>其他规定</w:t>
            </w:r>
          </w:p>
        </w:tc>
        <w:tc>
          <w:tcPr>
            <w:tcW w:w="6839" w:type="dxa"/>
            <w:gridSpan w:val="2"/>
            <w:tcMar>
              <w:top w:w="15" w:type="dxa"/>
              <w:left w:w="15" w:type="dxa"/>
              <w:bottom w:w="0" w:type="dxa"/>
              <w:right w:w="15" w:type="dxa"/>
            </w:tcMar>
            <w:vAlign w:val="center"/>
          </w:tcPr>
          <w:p w:rsidR="00E44EE3" w:rsidRPr="00E31DFD" w:rsidRDefault="00E44EE3" w:rsidP="005A2B5B">
            <w:pPr>
              <w:widowControl/>
              <w:numPr>
                <w:ilvl w:val="0"/>
                <w:numId w:val="1"/>
              </w:numPr>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认购资金在起息日前按</w:t>
            </w:r>
            <w:r w:rsidR="006665B7" w:rsidRPr="00E31DFD">
              <w:rPr>
                <w:rFonts w:ascii="仿宋_GB2312" w:eastAsia="仿宋_GB2312" w:hAnsi="宋体" w:hint="eastAsia"/>
                <w:color w:val="000000" w:themeColor="text1"/>
                <w:sz w:val="20"/>
                <w:szCs w:val="21"/>
              </w:rPr>
              <w:t>杭州联合银行</w:t>
            </w:r>
            <w:r w:rsidRPr="00E31DFD">
              <w:rPr>
                <w:rFonts w:ascii="仿宋_GB2312" w:eastAsia="仿宋_GB2312" w:hAnsi="宋体" w:hint="eastAsia"/>
                <w:color w:val="000000" w:themeColor="text1"/>
                <w:sz w:val="20"/>
                <w:szCs w:val="21"/>
              </w:rPr>
              <w:t>挂牌公告的活期</w:t>
            </w:r>
            <w:r w:rsidR="00870A0C" w:rsidRPr="00E31DFD">
              <w:rPr>
                <w:rFonts w:ascii="仿宋_GB2312" w:eastAsia="仿宋_GB2312" w:hAnsi="宋体" w:hint="eastAsia"/>
                <w:color w:val="000000" w:themeColor="text1"/>
                <w:sz w:val="20"/>
                <w:szCs w:val="21"/>
              </w:rPr>
              <w:t>利</w:t>
            </w:r>
            <w:r w:rsidR="005A2B5B" w:rsidRPr="00E31DFD">
              <w:rPr>
                <w:rFonts w:ascii="仿宋_GB2312" w:eastAsia="仿宋_GB2312" w:hAnsi="宋体" w:hint="eastAsia"/>
                <w:color w:val="000000" w:themeColor="text1"/>
                <w:sz w:val="20"/>
                <w:szCs w:val="21"/>
              </w:rPr>
              <w:t>率</w:t>
            </w:r>
            <w:r w:rsidRPr="00E31DFD">
              <w:rPr>
                <w:rFonts w:ascii="仿宋_GB2312" w:eastAsia="仿宋_GB2312" w:hAnsi="宋体" w:hint="eastAsia"/>
                <w:color w:val="000000" w:themeColor="text1"/>
                <w:sz w:val="20"/>
                <w:szCs w:val="21"/>
              </w:rPr>
              <w:t>计息，该部分</w:t>
            </w:r>
            <w:r w:rsidR="005A2B5B" w:rsidRPr="00E31DFD">
              <w:rPr>
                <w:rFonts w:ascii="仿宋_GB2312" w:eastAsia="仿宋_GB2312" w:hAnsi="宋体" w:hint="eastAsia"/>
                <w:color w:val="000000" w:themeColor="text1"/>
                <w:sz w:val="20"/>
                <w:szCs w:val="21"/>
              </w:rPr>
              <w:t>收益</w:t>
            </w:r>
            <w:r w:rsidRPr="00E31DFD">
              <w:rPr>
                <w:rFonts w:ascii="仿宋_GB2312" w:eastAsia="仿宋_GB2312" w:hAnsi="宋体" w:hint="eastAsia"/>
                <w:color w:val="000000" w:themeColor="text1"/>
                <w:sz w:val="20"/>
                <w:szCs w:val="21"/>
              </w:rPr>
              <w:t>不计入认购本金。</w:t>
            </w:r>
          </w:p>
          <w:p w:rsidR="00E44EE3" w:rsidRPr="00E31DFD" w:rsidRDefault="00E44EE3" w:rsidP="00E10BCE">
            <w:pPr>
              <w:widowControl/>
              <w:numPr>
                <w:ilvl w:val="0"/>
                <w:numId w:val="1"/>
              </w:numPr>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本结构性存款产品支持质押，暂不支持转让、提前支取和赎回服务。</w:t>
            </w:r>
          </w:p>
        </w:tc>
      </w:tr>
    </w:tbl>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产品认购</w:t>
      </w:r>
      <w:r w:rsidR="00CC688C" w:rsidRPr="006B14BA">
        <w:rPr>
          <w:rFonts w:ascii="仿宋_GB2312" w:eastAsia="仿宋_GB2312" w:hAnsi="宋体" w:hint="eastAsia"/>
          <w:b/>
          <w:color w:val="000000" w:themeColor="text1"/>
          <w:sz w:val="24"/>
          <w:szCs w:val="21"/>
        </w:rPr>
        <w:t>与成立</w:t>
      </w:r>
    </w:p>
    <w:p w:rsidR="006F5F52" w:rsidRPr="005A2B5B" w:rsidRDefault="00397D9D" w:rsidP="005A2B5B">
      <w:pPr>
        <w:autoSpaceDE w:val="0"/>
        <w:autoSpaceDN w:val="0"/>
        <w:spacing w:line="400" w:lineRule="exact"/>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1.8</w:t>
      </w:r>
      <w:r w:rsidR="006F5F52" w:rsidRPr="005A2B5B">
        <w:rPr>
          <w:rFonts w:ascii="仿宋_GB2312" w:eastAsia="仿宋_GB2312" w:hAnsi="Arial Unicode MS" w:cs="STKaiti,Bold" w:hint="eastAsia"/>
          <w:bCs/>
          <w:color w:val="000000" w:themeColor="text1"/>
          <w:kern w:val="0"/>
          <w:szCs w:val="21"/>
        </w:rPr>
        <w:t>认购办法</w:t>
      </w:r>
    </w:p>
    <w:p w:rsidR="00553C87" w:rsidRPr="005A2B5B" w:rsidRDefault="00553C87" w:rsidP="003430E6">
      <w:pPr>
        <w:autoSpaceDE w:val="0"/>
        <w:autoSpaceDN w:val="0"/>
        <w:spacing w:line="400" w:lineRule="exact"/>
        <w:ind w:leftChars="122" w:left="256"/>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机构</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需提供营业执照原件、法人身份证原件、经办人身份证原件、授权书、公章、法人章</w:t>
      </w:r>
      <w:r w:rsidR="002238DC" w:rsidRPr="005A2B5B">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财务章</w:t>
      </w:r>
      <w:r w:rsidR="002238DC" w:rsidRPr="005A2B5B">
        <w:rPr>
          <w:rFonts w:ascii="仿宋_GB2312" w:eastAsia="仿宋_GB2312" w:hAnsi="Arial Unicode MS" w:cs="STKaiti,Bold" w:hint="eastAsia"/>
          <w:bCs/>
          <w:color w:val="000000" w:themeColor="text1"/>
          <w:kern w:val="0"/>
          <w:szCs w:val="21"/>
        </w:rPr>
        <w:t>及银行预留印鉴</w:t>
      </w:r>
      <w:r w:rsidRPr="005A2B5B">
        <w:rPr>
          <w:rFonts w:ascii="仿宋_GB2312" w:eastAsia="仿宋_GB2312" w:hAnsi="Arial Unicode MS" w:cs="STKaiti,Bold" w:hint="eastAsia"/>
          <w:bCs/>
          <w:color w:val="000000" w:themeColor="text1"/>
          <w:kern w:val="0"/>
          <w:szCs w:val="21"/>
        </w:rPr>
        <w:t>，按《产品协议书》内容确认购买。</w:t>
      </w:r>
    </w:p>
    <w:p w:rsidR="00395379" w:rsidRPr="00ED5D05"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2.2产品认购期：</w:t>
      </w:r>
      <w:r w:rsidR="0011095C">
        <w:rPr>
          <w:rFonts w:ascii="仿宋_GB2312" w:eastAsia="仿宋_GB2312" w:hAnsi="宋体" w:hint="eastAsia"/>
          <w:color w:val="000000"/>
          <w:sz w:val="20"/>
          <w:szCs w:val="21"/>
        </w:rPr>
        <w:t>2</w:t>
      </w:r>
      <w:r w:rsidR="00397D9D">
        <w:rPr>
          <w:rFonts w:ascii="仿宋_GB2312" w:eastAsia="仿宋_GB2312" w:hAnsi="宋体" w:hint="eastAsia"/>
          <w:color w:val="000000"/>
          <w:sz w:val="20"/>
          <w:szCs w:val="21"/>
        </w:rPr>
        <w:t>021</w:t>
      </w:r>
      <w:r w:rsidR="00397D9D" w:rsidRPr="00E31DFD">
        <w:rPr>
          <w:rFonts w:ascii="仿宋_GB2312" w:eastAsia="仿宋_GB2312" w:hAnsi="宋体" w:hint="eastAsia"/>
          <w:color w:val="000000"/>
          <w:sz w:val="20"/>
          <w:szCs w:val="21"/>
        </w:rPr>
        <w:t>年</w:t>
      </w:r>
      <w:r w:rsidR="00F412D0">
        <w:rPr>
          <w:rFonts w:ascii="仿宋_GB2312" w:eastAsia="仿宋_GB2312" w:hAnsi="宋体" w:hint="eastAsia"/>
          <w:color w:val="000000"/>
          <w:sz w:val="20"/>
          <w:szCs w:val="21"/>
        </w:rPr>
        <w:t>8</w:t>
      </w:r>
      <w:r w:rsidR="00397D9D" w:rsidRPr="00E31DFD">
        <w:rPr>
          <w:rFonts w:ascii="仿宋_GB2312" w:eastAsia="仿宋_GB2312" w:hAnsi="宋体" w:hint="eastAsia"/>
          <w:color w:val="000000"/>
          <w:sz w:val="20"/>
          <w:szCs w:val="21"/>
        </w:rPr>
        <w:t>月</w:t>
      </w:r>
      <w:r w:rsidR="00F412D0">
        <w:rPr>
          <w:rFonts w:ascii="仿宋_GB2312" w:eastAsia="仿宋_GB2312" w:hAnsi="宋体" w:hint="eastAsia"/>
          <w:color w:val="000000"/>
          <w:sz w:val="20"/>
          <w:szCs w:val="21"/>
        </w:rPr>
        <w:t>17</w:t>
      </w:r>
      <w:r w:rsidR="00397D9D" w:rsidRPr="00E31DFD">
        <w:rPr>
          <w:rFonts w:ascii="仿宋_GB2312" w:eastAsia="仿宋_GB2312" w:hAnsi="宋体" w:hint="eastAsia"/>
          <w:color w:val="000000"/>
          <w:sz w:val="20"/>
          <w:szCs w:val="21"/>
        </w:rPr>
        <w:t>日</w:t>
      </w:r>
      <w:r w:rsidR="00775143">
        <w:rPr>
          <w:rFonts w:ascii="仿宋_GB2312" w:eastAsia="仿宋_GB2312" w:hAnsi="宋体" w:hint="eastAsia"/>
          <w:color w:val="000000"/>
          <w:sz w:val="20"/>
          <w:szCs w:val="21"/>
        </w:rPr>
        <w:t>。</w:t>
      </w:r>
    </w:p>
    <w:p w:rsidR="006F5F52" w:rsidRPr="005A2B5B" w:rsidRDefault="006F5F52" w:rsidP="003430E6">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2.3认购方式：认购期内投资者先到先得，认购期届满或募集资金达到</w:t>
      </w:r>
      <w:r w:rsidR="00A458F9">
        <w:rPr>
          <w:rFonts w:ascii="仿宋_GB2312" w:eastAsia="仿宋_GB2312" w:hAnsi="Arial Unicode MS" w:cs="STKaiti,Bold" w:hint="eastAsia"/>
          <w:bCs/>
          <w:color w:val="000000" w:themeColor="text1"/>
          <w:kern w:val="0"/>
          <w:szCs w:val="21"/>
        </w:rPr>
        <w:t>11</w:t>
      </w:r>
      <w:r w:rsidR="00BF36D3">
        <w:rPr>
          <w:rFonts w:ascii="仿宋_GB2312" w:eastAsia="仿宋_GB2312" w:hAnsi="宋体" w:hint="eastAsia"/>
          <w:color w:val="000000" w:themeColor="text1"/>
          <w:szCs w:val="21"/>
        </w:rPr>
        <w:t>000</w:t>
      </w:r>
      <w:r w:rsidR="00FB5169" w:rsidRPr="005A2B5B">
        <w:rPr>
          <w:rFonts w:ascii="仿宋_GB2312" w:eastAsia="仿宋_GB2312" w:hAnsi="Arial Unicode MS" w:cs="STKaiti,Bold" w:hint="eastAsia"/>
          <w:bCs/>
          <w:color w:val="000000" w:themeColor="text1"/>
          <w:kern w:val="0"/>
          <w:szCs w:val="21"/>
        </w:rPr>
        <w:t>万元</w:t>
      </w:r>
      <w:r w:rsidRPr="005A2B5B">
        <w:rPr>
          <w:rFonts w:ascii="仿宋_GB2312" w:eastAsia="仿宋_GB2312" w:hAnsi="Arial Unicode MS" w:cs="STKaiti,Bold" w:hint="eastAsia"/>
          <w:bCs/>
          <w:color w:val="000000" w:themeColor="text1"/>
          <w:kern w:val="0"/>
          <w:szCs w:val="21"/>
        </w:rPr>
        <w:t>，则认购停止；杭州联合银行有权提前结束认购。</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2.4认购申请日</w:t>
      </w:r>
      <w:r w:rsidR="0044385A">
        <w:rPr>
          <w:rFonts w:ascii="仿宋_GB2312" w:eastAsia="仿宋_GB2312" w:hAnsi="Arial Unicode MS" w:cs="STKaiti,Bold" w:hint="eastAsia"/>
          <w:bCs/>
          <w:color w:val="000000" w:themeColor="text1"/>
          <w:kern w:val="0"/>
          <w:szCs w:val="21"/>
        </w:rPr>
        <w:t>杭州联合银行</w:t>
      </w:r>
      <w:r w:rsidRPr="005A2B5B">
        <w:rPr>
          <w:rFonts w:ascii="仿宋_GB2312" w:eastAsia="仿宋_GB2312" w:hAnsi="Arial Unicode MS" w:cs="STKaiti,Bold" w:hint="eastAsia"/>
          <w:bCs/>
          <w:color w:val="000000" w:themeColor="text1"/>
          <w:kern w:val="0"/>
          <w:szCs w:val="21"/>
        </w:rPr>
        <w:t>营业场所规定的营业时间</w:t>
      </w:r>
      <w:r w:rsidR="00313793">
        <w:rPr>
          <w:rFonts w:ascii="仿宋_GB2312" w:eastAsia="仿宋_GB2312" w:hAnsi="Arial Unicode MS" w:cs="STKaiti,Bold" w:hint="eastAsia"/>
          <w:bCs/>
          <w:color w:val="000000" w:themeColor="text1"/>
          <w:kern w:val="0"/>
          <w:szCs w:val="21"/>
        </w:rPr>
        <w:t>17</w:t>
      </w:r>
      <w:r w:rsidR="0044385A">
        <w:rPr>
          <w:rFonts w:ascii="仿宋_GB2312" w:eastAsia="仿宋_GB2312" w:hAnsi="Arial Unicode MS" w:cs="STKaiti,Bold" w:hint="eastAsia"/>
          <w:bCs/>
          <w:color w:val="000000" w:themeColor="text1"/>
          <w:kern w:val="0"/>
          <w:szCs w:val="21"/>
        </w:rPr>
        <w:t>:00PM</w:t>
      </w:r>
      <w:r w:rsidRPr="005A2B5B">
        <w:rPr>
          <w:rFonts w:ascii="仿宋_GB2312" w:eastAsia="仿宋_GB2312" w:hAnsi="Arial Unicode MS" w:cs="STKaiti,Bold" w:hint="eastAsia"/>
          <w:bCs/>
          <w:color w:val="000000" w:themeColor="text1"/>
          <w:kern w:val="0"/>
          <w:szCs w:val="21"/>
        </w:rPr>
        <w:t>之后不得撤销认购申请。</w:t>
      </w:r>
    </w:p>
    <w:p w:rsidR="006F5F52" w:rsidRPr="005A2B5B" w:rsidRDefault="006F5F52" w:rsidP="005A2B5B">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2.5认购资金在认购期按活期</w:t>
      </w:r>
      <w:r w:rsidR="00870A0C">
        <w:rPr>
          <w:rFonts w:ascii="仿宋_GB2312" w:eastAsia="仿宋_GB2312" w:hAnsi="Arial Unicode MS" w:cs="STKaiti,Bold" w:hint="eastAsia"/>
          <w:bCs/>
          <w:color w:val="000000" w:themeColor="text1"/>
          <w:kern w:val="0"/>
          <w:szCs w:val="21"/>
        </w:rPr>
        <w:t>利</w:t>
      </w:r>
      <w:r w:rsidR="005A2B5B">
        <w:rPr>
          <w:rFonts w:ascii="仿宋_GB2312" w:eastAsia="仿宋_GB2312" w:hAnsi="Arial Unicode MS" w:cs="STKaiti,Bold" w:hint="eastAsia"/>
          <w:bCs/>
          <w:color w:val="000000" w:themeColor="text1"/>
          <w:kern w:val="0"/>
          <w:szCs w:val="21"/>
        </w:rPr>
        <w:t>率</w:t>
      </w:r>
      <w:r w:rsidRPr="005A2B5B">
        <w:rPr>
          <w:rFonts w:ascii="仿宋_GB2312" w:eastAsia="仿宋_GB2312" w:hAnsi="Arial Unicode MS" w:cs="STKaiti,Bold" w:hint="eastAsia"/>
          <w:bCs/>
          <w:color w:val="000000" w:themeColor="text1"/>
          <w:kern w:val="0"/>
          <w:szCs w:val="21"/>
        </w:rPr>
        <w:t>计息，认购期内的</w:t>
      </w:r>
      <w:r w:rsidR="005A2B5B">
        <w:rPr>
          <w:rFonts w:ascii="仿宋_GB2312" w:eastAsia="仿宋_GB2312" w:hAnsi="Arial Unicode MS" w:cs="STKaiti,Bold" w:hint="eastAsia"/>
          <w:bCs/>
          <w:color w:val="000000" w:themeColor="text1"/>
          <w:kern w:val="0"/>
          <w:szCs w:val="21"/>
        </w:rPr>
        <w:t>收益</w:t>
      </w:r>
      <w:r w:rsidRPr="005A2B5B">
        <w:rPr>
          <w:rFonts w:ascii="仿宋_GB2312" w:eastAsia="仿宋_GB2312" w:hAnsi="Arial Unicode MS" w:cs="STKaiti,Bold" w:hint="eastAsia"/>
          <w:bCs/>
          <w:color w:val="000000" w:themeColor="text1"/>
          <w:kern w:val="0"/>
          <w:szCs w:val="21"/>
        </w:rPr>
        <w:t>不计入投资者认购产品本金。如产品不能成立，杭州联合银行将退回投资者</w:t>
      </w:r>
      <w:r w:rsidR="00522460">
        <w:rPr>
          <w:rFonts w:ascii="仿宋_GB2312" w:eastAsia="仿宋_GB2312" w:hAnsi="Arial Unicode MS" w:cs="STKaiti,Bold" w:hint="eastAsia"/>
          <w:bCs/>
          <w:color w:val="000000" w:themeColor="text1"/>
          <w:kern w:val="0"/>
          <w:szCs w:val="21"/>
        </w:rPr>
        <w:t>产品</w:t>
      </w:r>
      <w:r w:rsidRPr="005A2B5B">
        <w:rPr>
          <w:rFonts w:ascii="仿宋_GB2312" w:eastAsia="仿宋_GB2312" w:hAnsi="Arial Unicode MS" w:cs="STKaiti,Bold" w:hint="eastAsia"/>
          <w:bCs/>
          <w:color w:val="000000" w:themeColor="text1"/>
          <w:kern w:val="0"/>
          <w:szCs w:val="21"/>
        </w:rPr>
        <w:t>本金，并在</w:t>
      </w:r>
      <w:r w:rsidR="00A52B34" w:rsidRPr="005A2B5B">
        <w:rPr>
          <w:rFonts w:ascii="仿宋_GB2312" w:eastAsia="仿宋_GB2312" w:hAnsi="Arial Unicode MS" w:cs="STKaiti,Bold" w:hint="eastAsia"/>
          <w:bCs/>
          <w:color w:val="000000" w:themeColor="text1"/>
          <w:kern w:val="0"/>
          <w:szCs w:val="21"/>
        </w:rPr>
        <w:t>认购期间</w:t>
      </w:r>
      <w:r w:rsidRPr="005A2B5B">
        <w:rPr>
          <w:rFonts w:ascii="仿宋_GB2312" w:eastAsia="仿宋_GB2312" w:hAnsi="Arial Unicode MS" w:cs="STKaiti,Bold" w:hint="eastAsia"/>
          <w:bCs/>
          <w:color w:val="000000" w:themeColor="text1"/>
          <w:kern w:val="0"/>
          <w:szCs w:val="21"/>
        </w:rPr>
        <w:t>按活期</w:t>
      </w:r>
      <w:r w:rsidR="00870A0C">
        <w:rPr>
          <w:rFonts w:ascii="仿宋_GB2312" w:eastAsia="仿宋_GB2312" w:hAnsi="Arial Unicode MS" w:cs="STKaiti,Bold" w:hint="eastAsia"/>
          <w:bCs/>
          <w:color w:val="000000" w:themeColor="text1"/>
          <w:kern w:val="0"/>
          <w:szCs w:val="21"/>
        </w:rPr>
        <w:t>利</w:t>
      </w:r>
      <w:r w:rsidR="005A2B5B">
        <w:rPr>
          <w:rFonts w:ascii="仿宋_GB2312" w:eastAsia="仿宋_GB2312" w:hAnsi="Arial Unicode MS" w:cs="STKaiti,Bold" w:hint="eastAsia"/>
          <w:bCs/>
          <w:color w:val="000000" w:themeColor="text1"/>
          <w:kern w:val="0"/>
          <w:szCs w:val="21"/>
        </w:rPr>
        <w:t>率</w:t>
      </w:r>
      <w:r w:rsidRPr="005A2B5B">
        <w:rPr>
          <w:rFonts w:ascii="仿宋_GB2312" w:eastAsia="仿宋_GB2312" w:hAnsi="Arial Unicode MS" w:cs="STKaiti,Bold" w:hint="eastAsia"/>
          <w:bCs/>
          <w:color w:val="000000" w:themeColor="text1"/>
          <w:kern w:val="0"/>
          <w:szCs w:val="21"/>
        </w:rPr>
        <w:t>计息。</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2.6本产品认购期结束后至到期日之前，不办理认购。投资者无权追加投资。</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2.7本产品</w:t>
      </w:r>
      <w:r w:rsidR="003D7F09">
        <w:rPr>
          <w:rFonts w:ascii="仿宋_GB2312" w:eastAsia="仿宋_GB2312" w:hAnsi="Arial Unicode MS" w:cs="STKaiti,Bold" w:hint="eastAsia"/>
          <w:bCs/>
          <w:color w:val="000000" w:themeColor="text1"/>
          <w:kern w:val="0"/>
          <w:szCs w:val="21"/>
        </w:rPr>
        <w:t>起息后存续期内</w:t>
      </w:r>
      <w:r w:rsidRPr="005A2B5B">
        <w:rPr>
          <w:rFonts w:ascii="仿宋_GB2312" w:eastAsia="仿宋_GB2312" w:hAnsi="Arial Unicode MS" w:cs="STKaiti,Bold" w:hint="eastAsia"/>
          <w:bCs/>
          <w:color w:val="000000" w:themeColor="text1"/>
          <w:kern w:val="0"/>
          <w:szCs w:val="21"/>
        </w:rPr>
        <w:t>，投资者无权提前终止</w:t>
      </w:r>
      <w:r w:rsidR="003D7F09">
        <w:rPr>
          <w:rFonts w:ascii="仿宋_GB2312" w:eastAsia="仿宋_GB2312" w:hAnsi="Arial Unicode MS" w:cs="STKaiti,Bold" w:hint="eastAsia"/>
          <w:bCs/>
          <w:color w:val="000000" w:themeColor="text1"/>
          <w:kern w:val="0"/>
          <w:szCs w:val="21"/>
        </w:rPr>
        <w:t>本产品</w:t>
      </w:r>
      <w:r w:rsidRPr="005A2B5B">
        <w:rPr>
          <w:rFonts w:ascii="仿宋_GB2312" w:eastAsia="仿宋_GB2312" w:hAnsi="Arial Unicode MS" w:cs="STKaiti,Bold" w:hint="eastAsia"/>
          <w:bCs/>
          <w:color w:val="000000" w:themeColor="text1"/>
          <w:kern w:val="0"/>
          <w:szCs w:val="21"/>
        </w:rPr>
        <w:t>。</w:t>
      </w:r>
    </w:p>
    <w:p w:rsidR="006066A0" w:rsidRPr="005A2B5B" w:rsidRDefault="00D322F0" w:rsidP="005A2B5B">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2.8</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与银行之间的存款交易合同经</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与银行之间签署</w:t>
      </w:r>
      <w:r w:rsidR="002238DC" w:rsidRPr="005A2B5B">
        <w:rPr>
          <w:rFonts w:ascii="仿宋_GB2312" w:eastAsia="仿宋_GB2312" w:hAnsi="Arial Unicode MS" w:cs="STKaiti,Bold" w:hint="eastAsia"/>
          <w:bCs/>
          <w:color w:val="000000" w:themeColor="text1"/>
          <w:kern w:val="0"/>
          <w:szCs w:val="21"/>
        </w:rPr>
        <w:t>存款交易合同</w:t>
      </w:r>
      <w:r w:rsidR="006066A0" w:rsidRPr="005A2B5B">
        <w:rPr>
          <w:rFonts w:ascii="仿宋_GB2312" w:eastAsia="仿宋_GB2312" w:hAnsi="Arial Unicode MS" w:cs="STKaiti,Bold" w:hint="eastAsia"/>
          <w:bCs/>
          <w:color w:val="000000" w:themeColor="text1"/>
          <w:kern w:val="0"/>
          <w:szCs w:val="21"/>
        </w:rPr>
        <w:t>、系统成功交易并取得专用业务凭证（特殊情况下需银行手工扣款操作的除外）且银行成功从</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账户上扣划认购资金后生效。</w:t>
      </w:r>
    </w:p>
    <w:p w:rsidR="00CD45D0" w:rsidRPr="005A2B5B" w:rsidRDefault="00D322F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2.9</w:t>
      </w:r>
      <w:r w:rsidR="00072F3F" w:rsidRPr="005A2B5B">
        <w:rPr>
          <w:rFonts w:ascii="仿宋_GB2312" w:eastAsia="仿宋_GB2312" w:hAnsi="Arial Unicode MS" w:cs="STKaiti,Bold" w:hint="eastAsia"/>
          <w:bCs/>
          <w:color w:val="000000" w:themeColor="text1"/>
          <w:kern w:val="0"/>
          <w:szCs w:val="21"/>
        </w:rPr>
        <w:t>资金划付</w:t>
      </w:r>
    </w:p>
    <w:p w:rsidR="00072F3F" w:rsidRPr="005A2B5B" w:rsidRDefault="00072F3F" w:rsidP="003430E6">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起息日，杭州联合银行将按照</w:t>
      </w:r>
      <w:r w:rsidR="0044385A">
        <w:rPr>
          <w:rFonts w:ascii="仿宋_GB2312" w:eastAsia="仿宋_GB2312" w:hAnsi="Arial Unicode MS" w:cs="STKaiti,Bold" w:hint="eastAsia"/>
          <w:bCs/>
          <w:color w:val="000000" w:themeColor="text1"/>
          <w:kern w:val="0"/>
          <w:szCs w:val="21"/>
        </w:rPr>
        <w:t>《产品协议书》中</w:t>
      </w:r>
      <w:r w:rsidRPr="005A2B5B">
        <w:rPr>
          <w:rFonts w:ascii="仿宋_GB2312" w:eastAsia="仿宋_GB2312" w:hAnsi="Arial Unicode MS" w:cs="STKaiti,Bold" w:hint="eastAsia"/>
          <w:bCs/>
          <w:color w:val="000000" w:themeColor="text1"/>
          <w:kern w:val="0"/>
          <w:szCs w:val="21"/>
        </w:rPr>
        <w:t>约定的认购金额从</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活期账户中进行资金扣划，无需与</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进行最后确认，无需</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另行授权。本产品认可的</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认购资金划付行为仅限于银行扣款，不接受</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自行划付，任何情况下，</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自行汇款认购本产品的行为无效，由此产生的一切后果由</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自行承担。</w:t>
      </w:r>
    </w:p>
    <w:p w:rsidR="00CC688C" w:rsidRPr="005A2B5B" w:rsidRDefault="00397D9D" w:rsidP="005A2B5B">
      <w:pPr>
        <w:autoSpaceDE w:val="0"/>
        <w:autoSpaceDN w:val="0"/>
        <w:spacing w:line="400" w:lineRule="exact"/>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1.8</w:t>
      </w:r>
      <w:r w:rsidR="00CC688C" w:rsidRPr="005A2B5B">
        <w:rPr>
          <w:rFonts w:ascii="仿宋_GB2312" w:eastAsia="仿宋_GB2312" w:hAnsi="Arial Unicode MS" w:cs="STKaiti,Bold" w:hint="eastAsia"/>
          <w:bCs/>
          <w:color w:val="000000" w:themeColor="text1"/>
          <w:kern w:val="0"/>
          <w:szCs w:val="21"/>
        </w:rPr>
        <w:t>产品成立</w:t>
      </w:r>
    </w:p>
    <w:p w:rsidR="00CC688C" w:rsidRPr="005A2B5B" w:rsidRDefault="00522460" w:rsidP="003430E6">
      <w:pPr>
        <w:autoSpaceDE w:val="0"/>
        <w:autoSpaceDN w:val="0"/>
        <w:spacing w:line="400" w:lineRule="exact"/>
        <w:ind w:leftChars="193" w:left="405"/>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
          <w:bCs/>
          <w:color w:val="000000" w:themeColor="text1"/>
          <w:kern w:val="0"/>
          <w:szCs w:val="21"/>
        </w:rPr>
        <w:t>本产品开始认购至原定起息日之前，</w:t>
      </w:r>
      <w:r w:rsidR="00CC688C" w:rsidRPr="005A2B5B">
        <w:rPr>
          <w:rFonts w:ascii="仿宋_GB2312" w:eastAsia="仿宋_GB2312" w:hAnsi="Arial Unicode MS" w:cs="STKaiti,Bold" w:hint="eastAsia"/>
          <w:b/>
          <w:bCs/>
          <w:color w:val="000000" w:themeColor="text1"/>
          <w:kern w:val="0"/>
          <w:szCs w:val="21"/>
        </w:rPr>
        <w:t>产</w:t>
      </w:r>
      <w:r w:rsidR="00CC688C" w:rsidRPr="00C0505E">
        <w:rPr>
          <w:rFonts w:ascii="仿宋_GB2312" w:eastAsia="仿宋_GB2312" w:hAnsi="Arial Unicode MS" w:cs="STKaiti,Bold" w:hint="eastAsia"/>
          <w:b/>
          <w:bCs/>
          <w:color w:val="000000" w:themeColor="text1"/>
          <w:kern w:val="0"/>
          <w:szCs w:val="21"/>
        </w:rPr>
        <w:t>品认购总金额未达</w:t>
      </w:r>
      <w:r w:rsidR="00CC688C" w:rsidRPr="00157A6F">
        <w:rPr>
          <w:rFonts w:ascii="仿宋_GB2312" w:eastAsia="仿宋_GB2312" w:hAnsi="Arial Unicode MS" w:cs="STKaiti,Bold" w:hint="eastAsia"/>
          <w:b/>
          <w:bCs/>
          <w:color w:val="000000" w:themeColor="text1"/>
          <w:kern w:val="0"/>
          <w:szCs w:val="21"/>
        </w:rPr>
        <w:t>到规模下限</w:t>
      </w:r>
      <w:r w:rsidR="00A458F9">
        <w:rPr>
          <w:rFonts w:ascii="仿宋_GB2312" w:eastAsia="仿宋_GB2312" w:hAnsi="Arial Unicode MS" w:cs="STKaiti,Bold" w:hint="eastAsia"/>
          <w:b/>
          <w:bCs/>
          <w:color w:val="000000" w:themeColor="text1"/>
          <w:kern w:val="0"/>
          <w:szCs w:val="21"/>
        </w:rPr>
        <w:t>7</w:t>
      </w:r>
      <w:r w:rsidR="00E45F41" w:rsidRPr="00157A6F">
        <w:rPr>
          <w:rFonts w:ascii="仿宋_GB2312" w:eastAsia="仿宋_GB2312" w:hAnsi="Arial Unicode MS" w:cs="STKaiti,Bold"/>
          <w:b/>
          <w:bCs/>
          <w:color w:val="000000" w:themeColor="text1"/>
          <w:kern w:val="0"/>
          <w:szCs w:val="21"/>
        </w:rPr>
        <w:t>00</w:t>
      </w:r>
      <w:r w:rsidR="00BF36D3" w:rsidRPr="00157A6F">
        <w:rPr>
          <w:rFonts w:ascii="仿宋_GB2312" w:eastAsia="仿宋_GB2312" w:hAnsi="Arial Unicode MS" w:cs="STKaiti,Bold"/>
          <w:b/>
          <w:bCs/>
          <w:color w:val="000000" w:themeColor="text1"/>
          <w:kern w:val="0"/>
          <w:szCs w:val="21"/>
        </w:rPr>
        <w:t>0</w:t>
      </w:r>
      <w:r w:rsidR="006D71C2" w:rsidRPr="00157A6F">
        <w:rPr>
          <w:rFonts w:ascii="仿宋_GB2312" w:eastAsia="仿宋_GB2312" w:hAnsi="Arial Unicode MS" w:cs="STKaiti,Bold" w:hint="eastAsia"/>
          <w:b/>
          <w:bCs/>
          <w:color w:val="000000" w:themeColor="text1"/>
          <w:kern w:val="0"/>
          <w:szCs w:val="21"/>
        </w:rPr>
        <w:t>万元</w:t>
      </w:r>
      <w:r w:rsidR="00CC688C" w:rsidRPr="00157A6F">
        <w:rPr>
          <w:rFonts w:ascii="仿宋_GB2312" w:eastAsia="仿宋_GB2312" w:hAnsi="Arial Unicode MS" w:cs="STKaiti,Bold" w:hint="eastAsia"/>
          <w:b/>
          <w:bCs/>
          <w:color w:val="000000" w:themeColor="text1"/>
          <w:kern w:val="0"/>
          <w:szCs w:val="21"/>
        </w:rPr>
        <w:t>，</w:t>
      </w:r>
      <w:r w:rsidR="00CC688C" w:rsidRPr="005A2B5B">
        <w:rPr>
          <w:rFonts w:ascii="仿宋_GB2312" w:eastAsia="仿宋_GB2312" w:hAnsi="Arial Unicode MS" w:cs="STKaiti,Bold" w:hint="eastAsia"/>
          <w:b/>
          <w:bCs/>
          <w:color w:val="000000" w:themeColor="text1"/>
          <w:kern w:val="0"/>
          <w:szCs w:val="21"/>
        </w:rPr>
        <w:t>或国家宏观政策及市场监管相关法律法规政策发生变化，或市场发生剧烈波动，经杭州联合银行合理判断难以按照本产品说明书规定向</w:t>
      </w:r>
      <w:r w:rsidR="007F4CCF">
        <w:rPr>
          <w:rFonts w:ascii="仿宋_GB2312" w:eastAsia="仿宋_GB2312" w:hAnsi="Arial Unicode MS" w:cs="STKaiti,Bold" w:hint="eastAsia"/>
          <w:b/>
          <w:bCs/>
          <w:color w:val="000000" w:themeColor="text1"/>
          <w:kern w:val="0"/>
          <w:szCs w:val="21"/>
        </w:rPr>
        <w:t>投资者</w:t>
      </w:r>
      <w:r w:rsidR="00CC688C" w:rsidRPr="005A2B5B">
        <w:rPr>
          <w:rFonts w:ascii="仿宋_GB2312" w:eastAsia="仿宋_GB2312" w:hAnsi="Arial Unicode MS" w:cs="STKaiti,Bold" w:hint="eastAsia"/>
          <w:b/>
          <w:bCs/>
          <w:color w:val="000000" w:themeColor="text1"/>
          <w:kern w:val="0"/>
          <w:szCs w:val="21"/>
        </w:rPr>
        <w:t>提供本产品的，则杭州联合银行有权宣布本产品不成立。</w:t>
      </w:r>
      <w:r w:rsidR="00CC688C" w:rsidRPr="005A2B5B">
        <w:rPr>
          <w:rFonts w:ascii="仿宋_GB2312" w:eastAsia="仿宋_GB2312" w:hAnsi="Arial Unicode MS" w:cs="STKaiti,Bold" w:hint="eastAsia"/>
          <w:bCs/>
          <w:color w:val="000000" w:themeColor="text1"/>
          <w:kern w:val="0"/>
          <w:szCs w:val="21"/>
        </w:rPr>
        <w:t>杭州联合银行于认购期结束后第2个工作日发布本产品不成立的公告，并解冻</w:t>
      </w:r>
      <w:r w:rsidR="007F4CCF">
        <w:rPr>
          <w:rFonts w:ascii="仿宋_GB2312" w:eastAsia="仿宋_GB2312" w:hAnsi="Arial Unicode MS" w:cs="STKaiti,Bold" w:hint="eastAsia"/>
          <w:bCs/>
          <w:color w:val="000000" w:themeColor="text1"/>
          <w:kern w:val="0"/>
          <w:szCs w:val="21"/>
        </w:rPr>
        <w:t>投资者</w:t>
      </w:r>
      <w:r w:rsidR="00CC688C" w:rsidRPr="005A2B5B">
        <w:rPr>
          <w:rFonts w:ascii="仿宋_GB2312" w:eastAsia="仿宋_GB2312" w:hAnsi="Arial Unicode MS" w:cs="STKaiti,Bold" w:hint="eastAsia"/>
          <w:bCs/>
          <w:color w:val="000000" w:themeColor="text1"/>
          <w:kern w:val="0"/>
          <w:szCs w:val="21"/>
        </w:rPr>
        <w:t>结算账户内的认购资金，认购结束日至退回资金到账日期间不计付</w:t>
      </w:r>
      <w:r w:rsidR="005A2B5B">
        <w:rPr>
          <w:rFonts w:ascii="仿宋_GB2312" w:eastAsia="仿宋_GB2312" w:hAnsi="Arial Unicode MS" w:cs="STKaiti,Bold" w:hint="eastAsia"/>
          <w:bCs/>
          <w:color w:val="000000" w:themeColor="text1"/>
          <w:kern w:val="0"/>
          <w:szCs w:val="21"/>
        </w:rPr>
        <w:t>收益</w:t>
      </w:r>
      <w:r w:rsidR="00CC688C" w:rsidRPr="005A2B5B">
        <w:rPr>
          <w:rFonts w:ascii="仿宋_GB2312" w:eastAsia="仿宋_GB2312" w:hAnsi="Arial Unicode MS" w:cs="STKaiti,Bold" w:hint="eastAsia"/>
          <w:bCs/>
          <w:color w:val="000000" w:themeColor="text1"/>
          <w:kern w:val="0"/>
          <w:szCs w:val="21"/>
        </w:rPr>
        <w:t>。</w:t>
      </w:r>
    </w:p>
    <w:p w:rsidR="006F5F52" w:rsidRPr="006B14BA" w:rsidRDefault="00F6702A"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本</w:t>
      </w:r>
      <w:r w:rsidR="00590282" w:rsidRPr="006B14BA">
        <w:rPr>
          <w:rFonts w:ascii="仿宋_GB2312" w:eastAsia="仿宋_GB2312" w:hAnsi="宋体" w:hint="eastAsia"/>
          <w:b/>
          <w:color w:val="000000" w:themeColor="text1"/>
          <w:sz w:val="24"/>
          <w:szCs w:val="21"/>
        </w:rPr>
        <w:t>金</w:t>
      </w:r>
      <w:r w:rsidRPr="006B14BA">
        <w:rPr>
          <w:rFonts w:ascii="仿宋_GB2312" w:eastAsia="仿宋_GB2312" w:hAnsi="宋体" w:hint="eastAsia"/>
          <w:b/>
          <w:color w:val="000000" w:themeColor="text1"/>
          <w:sz w:val="24"/>
          <w:szCs w:val="21"/>
        </w:rPr>
        <w:t>及</w:t>
      </w:r>
      <w:r w:rsidR="005A2B5B" w:rsidRPr="006B14BA">
        <w:rPr>
          <w:rFonts w:ascii="仿宋_GB2312" w:eastAsia="仿宋_GB2312" w:hAnsi="宋体" w:hint="eastAsia"/>
          <w:b/>
          <w:color w:val="000000" w:themeColor="text1"/>
          <w:sz w:val="24"/>
          <w:szCs w:val="21"/>
        </w:rPr>
        <w:t>收益</w:t>
      </w:r>
      <w:r w:rsidRPr="006B14BA">
        <w:rPr>
          <w:rFonts w:ascii="仿宋_GB2312" w:eastAsia="仿宋_GB2312" w:hAnsi="宋体" w:hint="eastAsia"/>
          <w:b/>
          <w:color w:val="000000" w:themeColor="text1"/>
          <w:sz w:val="24"/>
          <w:szCs w:val="21"/>
        </w:rPr>
        <w:t>支付</w:t>
      </w:r>
    </w:p>
    <w:p w:rsidR="009458B9"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3.1</w:t>
      </w:r>
      <w:r w:rsidR="009458B9" w:rsidRPr="005A2B5B">
        <w:rPr>
          <w:rFonts w:ascii="仿宋_GB2312" w:eastAsia="仿宋_GB2312" w:hAnsi="Arial Unicode MS" w:cs="STKaiti,Bold" w:hint="eastAsia"/>
          <w:bCs/>
          <w:color w:val="000000" w:themeColor="text1"/>
          <w:kern w:val="0"/>
          <w:szCs w:val="21"/>
        </w:rPr>
        <w:t>测算依据</w:t>
      </w:r>
    </w:p>
    <w:p w:rsidR="009458B9" w:rsidRPr="005A2B5B" w:rsidRDefault="00FA49AF" w:rsidP="003430E6">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本产品本金部分纳入存款统一管理</w:t>
      </w:r>
      <w:r w:rsidR="009458B9" w:rsidRPr="005A2B5B">
        <w:rPr>
          <w:rFonts w:ascii="仿宋_GB2312" w:eastAsia="仿宋_GB2312" w:hAnsi="Arial Unicode MS" w:cs="STKaiti,Bold" w:hint="eastAsia"/>
          <w:bCs/>
          <w:color w:val="000000" w:themeColor="text1"/>
          <w:kern w:val="0"/>
          <w:szCs w:val="21"/>
        </w:rPr>
        <w:t>，收益部分与</w:t>
      </w:r>
      <w:r w:rsidR="002724F6">
        <w:rPr>
          <w:rFonts w:ascii="仿宋_GB2312" w:eastAsia="仿宋_GB2312" w:hAnsi="Arial Unicode MS" w:cs="STKaiti,Bold" w:hint="eastAsia"/>
          <w:bCs/>
          <w:color w:val="000000" w:themeColor="text1"/>
          <w:kern w:val="0"/>
          <w:szCs w:val="21"/>
        </w:rPr>
        <w:t>挂钩</w:t>
      </w:r>
      <w:r w:rsidR="009458B9" w:rsidRPr="005A2B5B">
        <w:rPr>
          <w:rFonts w:ascii="仿宋_GB2312" w:eastAsia="仿宋_GB2312" w:hAnsi="Arial Unicode MS" w:cs="STKaiti,Bold" w:hint="eastAsia"/>
          <w:bCs/>
          <w:color w:val="000000" w:themeColor="text1"/>
          <w:kern w:val="0"/>
          <w:szCs w:val="21"/>
        </w:rPr>
        <w:t>标的在观察期内的表现挂钩。杭州联合银行将本着公平、公正、公允的原则，依据市场行情对观察期内挂钩标的进行观测，按照本产品说明书的收益条件支付投资者产品收益。</w:t>
      </w:r>
    </w:p>
    <w:p w:rsidR="009458B9" w:rsidRPr="005A2B5B" w:rsidRDefault="009458B9" w:rsidP="00796392">
      <w:pPr>
        <w:autoSpaceDE w:val="0"/>
        <w:autoSpaceDN w:val="0"/>
        <w:spacing w:line="400" w:lineRule="exact"/>
        <w:ind w:firstLineChars="149" w:firstLine="314"/>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测算收益不等于实际收益，投资须谨慎。</w:t>
      </w:r>
    </w:p>
    <w:p w:rsidR="009458B9" w:rsidRPr="005A2B5B" w:rsidRDefault="00F412D0" w:rsidP="00796392">
      <w:pPr>
        <w:autoSpaceDE w:val="0"/>
        <w:autoSpaceDN w:val="0"/>
        <w:spacing w:line="400" w:lineRule="exact"/>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3.2</w:t>
      </w:r>
      <w:r w:rsidR="00870A0C">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预期年化收益率的测算示例</w:t>
      </w:r>
    </w:p>
    <w:p w:rsidR="00796392" w:rsidRPr="00796392" w:rsidRDefault="00796392" w:rsidP="00796392">
      <w:pPr>
        <w:autoSpaceDE w:val="0"/>
        <w:autoSpaceDN w:val="0"/>
        <w:spacing w:line="400" w:lineRule="exact"/>
        <w:ind w:firstLineChars="150" w:firstLine="315"/>
        <w:jc w:val="left"/>
        <w:rPr>
          <w:rFonts w:ascii="仿宋_GB2312" w:eastAsia="仿宋_GB2312" w:hAnsi="Arial Unicode MS" w:cs="STKaiti,Bold"/>
          <w:bCs/>
          <w:color w:val="000000" w:themeColor="text1"/>
          <w:kern w:val="0"/>
          <w:szCs w:val="21"/>
        </w:rPr>
      </w:pPr>
      <w:r w:rsidRPr="00796392">
        <w:rPr>
          <w:rFonts w:ascii="仿宋_GB2312" w:eastAsia="仿宋_GB2312" w:hAnsi="Arial Unicode MS" w:cs="STKaiti,Bold" w:hint="eastAsia"/>
          <w:bCs/>
          <w:color w:val="000000" w:themeColor="text1"/>
          <w:kern w:val="0"/>
          <w:szCs w:val="21"/>
        </w:rPr>
        <w:t>若观察时点观察标的</w:t>
      </w:r>
      <w:r w:rsidR="007D4B53">
        <w:rPr>
          <w:rFonts w:ascii="仿宋_GB2312" w:eastAsia="仿宋_GB2312" w:hAnsi="Arial Unicode MS" w:cs="STKaiti,Bold" w:hint="eastAsia"/>
          <w:bCs/>
          <w:color w:val="000000" w:themeColor="text1"/>
          <w:kern w:val="0"/>
          <w:szCs w:val="21"/>
        </w:rPr>
        <w:t>高</w:t>
      </w:r>
      <w:r w:rsidR="008E0E60">
        <w:rPr>
          <w:rFonts w:ascii="仿宋_GB2312" w:eastAsia="仿宋_GB2312" w:hAnsi="Arial Unicode MS" w:cs="STKaiti,Bold" w:hint="eastAsia"/>
          <w:bCs/>
          <w:color w:val="000000" w:themeColor="text1"/>
          <w:kern w:val="0"/>
          <w:szCs w:val="21"/>
        </w:rPr>
        <w:t>于观察标的</w:t>
      </w:r>
      <w:r w:rsidR="007D4B53">
        <w:rPr>
          <w:rFonts w:ascii="仿宋_GB2312" w:eastAsia="仿宋_GB2312" w:hAnsi="Arial Unicode MS" w:cs="STKaiti,Bold" w:hint="eastAsia"/>
          <w:bCs/>
          <w:color w:val="000000" w:themeColor="text1"/>
          <w:kern w:val="0"/>
          <w:szCs w:val="21"/>
        </w:rPr>
        <w:t>上</w:t>
      </w:r>
      <w:r w:rsidRPr="00796392">
        <w:rPr>
          <w:rFonts w:ascii="仿宋_GB2312" w:eastAsia="仿宋_GB2312" w:hAnsi="Arial Unicode MS" w:cs="STKaiti,Bold" w:hint="eastAsia"/>
          <w:bCs/>
          <w:color w:val="000000" w:themeColor="text1"/>
          <w:kern w:val="0"/>
          <w:szCs w:val="21"/>
        </w:rPr>
        <w:t>限，则客户年化收益率为</w:t>
      </w:r>
      <w:r w:rsidR="007D4B53">
        <w:rPr>
          <w:rFonts w:ascii="仿宋_GB2312" w:eastAsia="仿宋_GB2312" w:hAnsi="Arial Unicode MS" w:cs="STKaiti,Bold" w:hint="eastAsia"/>
          <w:bCs/>
          <w:color w:val="000000" w:themeColor="text1"/>
          <w:kern w:val="0"/>
          <w:szCs w:val="21"/>
        </w:rPr>
        <w:t>1.7</w:t>
      </w:r>
      <w:r w:rsidR="00BF32B7">
        <w:rPr>
          <w:rFonts w:ascii="仿宋_GB2312" w:eastAsia="仿宋_GB2312" w:hAnsi="Arial Unicode MS" w:cs="STKaiti,Bold" w:hint="eastAsia"/>
          <w:bCs/>
          <w:color w:val="000000" w:themeColor="text1"/>
          <w:kern w:val="0"/>
          <w:szCs w:val="21"/>
        </w:rPr>
        <w:t>0</w:t>
      </w:r>
      <w:r w:rsidRPr="00796392">
        <w:rPr>
          <w:rFonts w:ascii="仿宋_GB2312" w:eastAsia="仿宋_GB2312" w:hAnsi="Arial Unicode MS" w:cs="STKaiti,Bold" w:hint="eastAsia"/>
          <w:bCs/>
          <w:color w:val="000000" w:themeColor="text1"/>
          <w:kern w:val="0"/>
          <w:szCs w:val="21"/>
        </w:rPr>
        <w:t>%；</w:t>
      </w:r>
    </w:p>
    <w:p w:rsidR="00796392" w:rsidRDefault="00796392" w:rsidP="00796392">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796392">
        <w:rPr>
          <w:rFonts w:ascii="仿宋_GB2312" w:eastAsia="仿宋_GB2312" w:hAnsi="Arial Unicode MS" w:cs="STKaiti,Bold" w:hint="eastAsia"/>
          <w:bCs/>
          <w:color w:val="000000" w:themeColor="text1"/>
          <w:kern w:val="0"/>
          <w:szCs w:val="21"/>
        </w:rPr>
        <w:lastRenderedPageBreak/>
        <w:t>若观察时点观察标的</w:t>
      </w:r>
      <w:r w:rsidR="000826E2">
        <w:rPr>
          <w:rFonts w:ascii="仿宋_GB2312" w:eastAsia="仿宋_GB2312" w:hAnsi="Arial Unicode MS" w:cs="STKaiti,Bold" w:hint="eastAsia"/>
          <w:bCs/>
          <w:color w:val="000000" w:themeColor="text1"/>
          <w:kern w:val="0"/>
          <w:szCs w:val="21"/>
        </w:rPr>
        <w:t>高于等于</w:t>
      </w:r>
      <w:r w:rsidRPr="00796392">
        <w:rPr>
          <w:rFonts w:ascii="仿宋_GB2312" w:eastAsia="仿宋_GB2312" w:hAnsi="Arial Unicode MS" w:cs="STKaiti,Bold" w:hint="eastAsia"/>
          <w:bCs/>
          <w:color w:val="000000" w:themeColor="text1"/>
          <w:kern w:val="0"/>
          <w:szCs w:val="21"/>
        </w:rPr>
        <w:t>观察标的下限且</w:t>
      </w:r>
      <w:r w:rsidR="000826E2">
        <w:rPr>
          <w:rFonts w:ascii="仿宋_GB2312" w:eastAsia="仿宋_GB2312" w:hAnsi="Arial Unicode MS" w:cs="STKaiti,Bold" w:hint="eastAsia"/>
          <w:bCs/>
          <w:color w:val="000000" w:themeColor="text1"/>
          <w:kern w:val="0"/>
          <w:szCs w:val="21"/>
        </w:rPr>
        <w:t>低于等于</w:t>
      </w:r>
      <w:r w:rsidRPr="00796392">
        <w:rPr>
          <w:rFonts w:ascii="仿宋_GB2312" w:eastAsia="仿宋_GB2312" w:hAnsi="Arial Unicode MS" w:cs="STKaiti,Bold" w:hint="eastAsia"/>
          <w:bCs/>
          <w:color w:val="000000" w:themeColor="text1"/>
          <w:kern w:val="0"/>
          <w:szCs w:val="21"/>
        </w:rPr>
        <w:t>观察标的上限，则客户年化收益率为</w:t>
      </w:r>
      <w:r w:rsidR="00F412D0">
        <w:rPr>
          <w:rFonts w:ascii="仿宋_GB2312" w:eastAsia="仿宋_GB2312" w:hAnsi="Arial Unicode MS" w:cs="STKaiti,Bold" w:hint="eastAsia"/>
          <w:bCs/>
          <w:color w:val="000000" w:themeColor="text1"/>
          <w:kern w:val="0"/>
          <w:szCs w:val="21"/>
        </w:rPr>
        <w:t>2.80</w:t>
      </w:r>
      <w:r w:rsidRPr="00796392">
        <w:rPr>
          <w:rFonts w:ascii="仿宋_GB2312" w:eastAsia="仿宋_GB2312" w:hAnsi="Arial Unicode MS" w:cs="STKaiti,Bold" w:hint="eastAsia"/>
          <w:bCs/>
          <w:color w:val="000000" w:themeColor="text1"/>
          <w:kern w:val="0"/>
          <w:szCs w:val="21"/>
        </w:rPr>
        <w:t>%；</w:t>
      </w:r>
    </w:p>
    <w:p w:rsidR="00574A8F" w:rsidRPr="00796392" w:rsidRDefault="007D4B53" w:rsidP="00796392">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若观察时点观察标的低于观察标的下</w:t>
      </w:r>
      <w:r w:rsidR="00796392" w:rsidRPr="00796392">
        <w:rPr>
          <w:rFonts w:ascii="仿宋_GB2312" w:eastAsia="仿宋_GB2312" w:hAnsi="Arial Unicode MS" w:cs="STKaiti,Bold" w:hint="eastAsia"/>
          <w:bCs/>
          <w:color w:val="000000" w:themeColor="text1"/>
          <w:kern w:val="0"/>
          <w:szCs w:val="21"/>
        </w:rPr>
        <w:t>限，则客户年化收益率为</w:t>
      </w:r>
      <w:r w:rsidR="00F412D0">
        <w:rPr>
          <w:rFonts w:ascii="仿宋_GB2312" w:eastAsia="仿宋_GB2312" w:hAnsi="Arial Unicode MS" w:cs="STKaiti,Bold" w:hint="eastAsia"/>
          <w:bCs/>
          <w:color w:val="000000" w:themeColor="text1"/>
          <w:kern w:val="0"/>
          <w:szCs w:val="21"/>
        </w:rPr>
        <w:t>3.0</w:t>
      </w:r>
      <w:r w:rsidR="00C0505E">
        <w:rPr>
          <w:rFonts w:ascii="仿宋_GB2312" w:eastAsia="仿宋_GB2312" w:hAnsi="Arial Unicode MS" w:cs="STKaiti,Bold" w:hint="eastAsia"/>
          <w:bCs/>
          <w:color w:val="000000" w:themeColor="text1"/>
          <w:kern w:val="0"/>
          <w:szCs w:val="21"/>
        </w:rPr>
        <w:t>0</w:t>
      </w:r>
      <w:r w:rsidR="00796392" w:rsidRPr="00796392">
        <w:rPr>
          <w:rFonts w:ascii="仿宋_GB2312" w:eastAsia="仿宋_GB2312" w:hAnsi="Arial Unicode MS" w:cs="STKaiti,Bold" w:hint="eastAsia"/>
          <w:bCs/>
          <w:color w:val="000000" w:themeColor="text1"/>
          <w:kern w:val="0"/>
          <w:szCs w:val="21"/>
        </w:rPr>
        <w:t>%；</w:t>
      </w:r>
    </w:p>
    <w:p w:rsidR="00504610" w:rsidRPr="005A2B5B" w:rsidRDefault="009458B9" w:rsidP="00796392">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3.3</w:t>
      </w:r>
      <w:r w:rsidR="00870A0C">
        <w:rPr>
          <w:rFonts w:ascii="仿宋_GB2312" w:eastAsia="仿宋_GB2312" w:hAnsi="Arial Unicode MS" w:cs="STKaiti,Bold" w:hint="eastAsia"/>
          <w:bCs/>
          <w:color w:val="000000" w:themeColor="text1"/>
          <w:kern w:val="0"/>
          <w:szCs w:val="21"/>
        </w:rPr>
        <w:t>产品</w:t>
      </w:r>
      <w:r w:rsidR="008E7A32" w:rsidRPr="005A2B5B">
        <w:rPr>
          <w:rFonts w:ascii="仿宋_GB2312" w:eastAsia="仿宋_GB2312" w:hAnsi="Arial Unicode MS" w:cs="STKaiti,Bold" w:hint="eastAsia"/>
          <w:bCs/>
          <w:color w:val="000000" w:themeColor="text1"/>
          <w:kern w:val="0"/>
          <w:szCs w:val="21"/>
        </w:rPr>
        <w:t>预期</w:t>
      </w:r>
      <w:r w:rsidRPr="005A2B5B">
        <w:rPr>
          <w:rFonts w:ascii="仿宋_GB2312" w:eastAsia="仿宋_GB2312" w:hAnsi="Arial Unicode MS" w:cs="STKaiti,Bold" w:hint="eastAsia"/>
          <w:bCs/>
          <w:color w:val="000000" w:themeColor="text1"/>
          <w:kern w:val="0"/>
          <w:szCs w:val="21"/>
        </w:rPr>
        <w:t>收益</w:t>
      </w:r>
      <w:r w:rsidR="00697621" w:rsidRPr="005A2B5B">
        <w:rPr>
          <w:rFonts w:ascii="仿宋_GB2312" w:eastAsia="仿宋_GB2312" w:hAnsi="Arial Unicode MS" w:cs="STKaiti,Bold" w:hint="eastAsia"/>
          <w:bCs/>
          <w:color w:val="000000" w:themeColor="text1"/>
          <w:kern w:val="0"/>
          <w:szCs w:val="21"/>
        </w:rPr>
        <w:t>计算</w:t>
      </w:r>
    </w:p>
    <w:p w:rsidR="00504610" w:rsidRPr="005A2B5B" w:rsidRDefault="008E7A32" w:rsidP="005A2B5B">
      <w:pPr>
        <w:autoSpaceDE w:val="0"/>
        <w:autoSpaceDN w:val="0"/>
        <w:spacing w:line="400" w:lineRule="exact"/>
        <w:ind w:firstLineChars="150" w:firstLine="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预期</w:t>
      </w:r>
      <w:r w:rsidR="00504610" w:rsidRPr="005A2B5B">
        <w:rPr>
          <w:rFonts w:ascii="仿宋_GB2312" w:eastAsia="仿宋_GB2312" w:hAnsi="Arial Unicode MS" w:cs="STKaiti,Bold" w:hint="eastAsia"/>
          <w:bCs/>
          <w:color w:val="000000" w:themeColor="text1"/>
          <w:kern w:val="0"/>
          <w:szCs w:val="21"/>
        </w:rPr>
        <w:t>收益根据所挂钩的</w:t>
      </w:r>
      <w:r w:rsidR="00211483">
        <w:rPr>
          <w:rFonts w:ascii="仿宋_GB2312" w:eastAsia="仿宋_GB2312" w:hAnsi="Arial Unicode MS" w:cs="STKaiti,Bold" w:hint="eastAsia"/>
          <w:bCs/>
          <w:color w:val="000000" w:themeColor="text1"/>
          <w:kern w:val="0"/>
          <w:szCs w:val="21"/>
        </w:rPr>
        <w:t>欧元兑美元汇率</w:t>
      </w:r>
      <w:r w:rsidR="00504610" w:rsidRPr="005A2B5B">
        <w:rPr>
          <w:rFonts w:ascii="仿宋_GB2312" w:eastAsia="仿宋_GB2312" w:hAnsi="Arial Unicode MS" w:cs="STKaiti,Bold" w:hint="eastAsia"/>
          <w:bCs/>
          <w:color w:val="000000" w:themeColor="text1"/>
          <w:kern w:val="0"/>
          <w:szCs w:val="21"/>
        </w:rPr>
        <w:t>表现来确定。</w:t>
      </w:r>
    </w:p>
    <w:p w:rsidR="004770C7" w:rsidRPr="005A2B5B" w:rsidRDefault="008E7A32" w:rsidP="00662877">
      <w:pPr>
        <w:autoSpaceDE w:val="0"/>
        <w:autoSpaceDN w:val="0"/>
        <w:spacing w:line="400" w:lineRule="exact"/>
        <w:ind w:leftChars="122" w:left="256"/>
        <w:jc w:val="left"/>
        <w:rPr>
          <w:rFonts w:ascii="仿宋_GB2312" w:eastAsia="仿宋_GB2312" w:hAnsi="宋体"/>
          <w:color w:val="000000" w:themeColor="text1"/>
          <w:szCs w:val="21"/>
        </w:rPr>
      </w:pPr>
      <w:r w:rsidRPr="005A2B5B">
        <w:rPr>
          <w:rFonts w:ascii="仿宋_GB2312" w:eastAsia="仿宋_GB2312" w:hAnsi="Arial Unicode MS" w:cs="STKaiti,Bold" w:hint="eastAsia"/>
          <w:bCs/>
          <w:color w:val="000000" w:themeColor="text1"/>
          <w:kern w:val="0"/>
          <w:szCs w:val="21"/>
        </w:rPr>
        <w:t>预期</w:t>
      </w:r>
      <w:r w:rsidR="009458B9" w:rsidRPr="005A2B5B">
        <w:rPr>
          <w:rFonts w:ascii="仿宋_GB2312" w:eastAsia="仿宋_GB2312" w:hAnsi="Arial Unicode MS" w:cs="STKaiti,Bold" w:hint="eastAsia"/>
          <w:bCs/>
          <w:color w:val="000000" w:themeColor="text1"/>
          <w:kern w:val="0"/>
          <w:szCs w:val="21"/>
        </w:rPr>
        <w:t>收益</w:t>
      </w:r>
      <w:r w:rsidR="00504610" w:rsidRPr="005A2B5B">
        <w:rPr>
          <w:rFonts w:ascii="仿宋_GB2312" w:eastAsia="仿宋_GB2312" w:hAnsi="Arial Unicode MS" w:cs="STKaiti,Bold" w:hint="eastAsia"/>
          <w:bCs/>
          <w:color w:val="000000" w:themeColor="text1"/>
          <w:kern w:val="0"/>
          <w:szCs w:val="21"/>
        </w:rPr>
        <w:t>=认购金额*</w:t>
      </w:r>
      <w:r w:rsidRPr="005A2B5B">
        <w:rPr>
          <w:rFonts w:ascii="仿宋_GB2312" w:eastAsia="仿宋_GB2312" w:hAnsi="Arial Unicode MS" w:cs="STKaiti,Bold" w:hint="eastAsia"/>
          <w:bCs/>
          <w:color w:val="000000" w:themeColor="text1"/>
          <w:kern w:val="0"/>
          <w:szCs w:val="21"/>
        </w:rPr>
        <w:t>预期年化收益率</w:t>
      </w:r>
      <w:r w:rsidR="00504610" w:rsidRPr="005A2B5B">
        <w:rPr>
          <w:rFonts w:ascii="仿宋_GB2312" w:eastAsia="仿宋_GB2312" w:hAnsi="Arial Unicode MS" w:cs="STKaiti,Bold" w:hint="eastAsia"/>
          <w:bCs/>
          <w:color w:val="000000" w:themeColor="text1"/>
          <w:kern w:val="0"/>
          <w:szCs w:val="21"/>
        </w:rPr>
        <w:t>*</w:t>
      </w:r>
      <w:r w:rsidR="00100974">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实际天数</w:t>
      </w:r>
      <w:r w:rsidR="00504610" w:rsidRPr="005A2B5B">
        <w:rPr>
          <w:rFonts w:ascii="仿宋_GB2312" w:eastAsia="仿宋_GB2312" w:hAnsi="Arial Unicode MS" w:cs="STKaiti,Bold" w:hint="eastAsia"/>
          <w:bCs/>
          <w:color w:val="000000" w:themeColor="text1"/>
          <w:kern w:val="0"/>
          <w:szCs w:val="21"/>
        </w:rPr>
        <w:t>/365，其中</w:t>
      </w:r>
      <w:r w:rsidR="00100974">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实际天数</w:t>
      </w:r>
      <w:r w:rsidR="00504610" w:rsidRPr="005A2B5B">
        <w:rPr>
          <w:rFonts w:ascii="仿宋_GB2312" w:eastAsia="仿宋_GB2312" w:hAnsi="Arial Unicode MS" w:cs="STKaiti,Bold" w:hint="eastAsia"/>
          <w:bCs/>
          <w:color w:val="000000" w:themeColor="text1"/>
          <w:kern w:val="0"/>
          <w:szCs w:val="21"/>
        </w:rPr>
        <w:t>为</w:t>
      </w:r>
      <w:r w:rsidR="009458B9" w:rsidRPr="005A2B5B">
        <w:rPr>
          <w:rFonts w:ascii="仿宋_GB2312" w:eastAsia="仿宋_GB2312" w:hAnsi="宋体" w:hint="eastAsia"/>
          <w:color w:val="000000" w:themeColor="text1"/>
          <w:szCs w:val="21"/>
        </w:rPr>
        <w:t>从起息日（含）至到期日或提前终止日（不含）。</w:t>
      </w:r>
    </w:p>
    <w:p w:rsidR="009458B9"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3.4</w:t>
      </w:r>
      <w:r w:rsidR="009458B9" w:rsidRPr="005A2B5B">
        <w:rPr>
          <w:rFonts w:ascii="仿宋_GB2312" w:eastAsia="仿宋_GB2312" w:hAnsi="Arial Unicode MS" w:cs="STKaiti,Bold" w:hint="eastAsia"/>
          <w:bCs/>
          <w:color w:val="000000" w:themeColor="text1"/>
          <w:kern w:val="0"/>
          <w:szCs w:val="21"/>
        </w:rPr>
        <w:t>情景分析</w:t>
      </w:r>
    </w:p>
    <w:p w:rsidR="00745E2E" w:rsidRPr="00570C51" w:rsidRDefault="009458B9" w:rsidP="00570C51">
      <w:pPr>
        <w:autoSpaceDE w:val="0"/>
        <w:autoSpaceDN w:val="0"/>
        <w:spacing w:line="400" w:lineRule="exact"/>
        <w:ind w:leftChars="150" w:left="315"/>
        <w:jc w:val="left"/>
        <w:rPr>
          <w:rFonts w:ascii="仿宋_GB2312" w:eastAsia="仿宋_GB2312" w:hAnsi="Arial Unicode MS" w:cs="STKaiti,Bold"/>
          <w:bCs/>
          <w:color w:val="000000" w:themeColor="text1"/>
          <w:kern w:val="0"/>
          <w:szCs w:val="21"/>
        </w:rPr>
      </w:pPr>
      <w:r w:rsidRPr="00570C51">
        <w:rPr>
          <w:rFonts w:ascii="仿宋_GB2312" w:eastAsia="仿宋_GB2312" w:hAnsi="Arial Unicode MS" w:cs="STKaiti,Bold" w:hint="eastAsia"/>
          <w:bCs/>
          <w:color w:val="000000" w:themeColor="text1"/>
          <w:kern w:val="0"/>
          <w:szCs w:val="21"/>
        </w:rPr>
        <w:t>假设</w:t>
      </w:r>
      <w:r w:rsidR="007F4CCF" w:rsidRPr="00570C51">
        <w:rPr>
          <w:rFonts w:ascii="仿宋_GB2312" w:eastAsia="仿宋_GB2312" w:hAnsi="Arial Unicode MS" w:cs="STKaiti,Bold" w:hint="eastAsia"/>
          <w:bCs/>
          <w:color w:val="000000" w:themeColor="text1"/>
          <w:kern w:val="0"/>
          <w:szCs w:val="21"/>
        </w:rPr>
        <w:t>投资者</w:t>
      </w:r>
      <w:r w:rsidRPr="00570C51">
        <w:rPr>
          <w:rFonts w:ascii="仿宋_GB2312" w:eastAsia="仿宋_GB2312" w:hAnsi="Arial Unicode MS" w:cs="STKaiti,Bold" w:hint="eastAsia"/>
          <w:bCs/>
          <w:color w:val="000000" w:themeColor="text1"/>
          <w:kern w:val="0"/>
          <w:szCs w:val="21"/>
        </w:rPr>
        <w:t>认购了本产品100,000.00元，</w:t>
      </w:r>
      <w:r w:rsidR="00541ABA" w:rsidRPr="00570C51">
        <w:rPr>
          <w:rFonts w:ascii="仿宋_GB2312" w:eastAsia="仿宋_GB2312" w:hAnsi="Arial Unicode MS" w:cs="STKaiti,Bold" w:hint="eastAsia"/>
          <w:bCs/>
          <w:color w:val="000000" w:themeColor="text1"/>
          <w:kern w:val="0"/>
          <w:szCs w:val="21"/>
        </w:rPr>
        <w:t>持有</w:t>
      </w:r>
      <w:r w:rsidR="00570C51" w:rsidRPr="00570C51">
        <w:rPr>
          <w:rFonts w:ascii="仿宋_GB2312" w:eastAsia="仿宋_GB2312" w:hAnsi="Arial Unicode MS" w:cs="STKaiti,Bold" w:hint="eastAsia"/>
          <w:bCs/>
          <w:color w:val="000000" w:themeColor="text1"/>
          <w:kern w:val="0"/>
          <w:szCs w:val="21"/>
        </w:rPr>
        <w:t>到期实际</w:t>
      </w:r>
      <w:r w:rsidR="00541ABA" w:rsidRPr="00570C51">
        <w:rPr>
          <w:rFonts w:ascii="仿宋_GB2312" w:eastAsia="仿宋_GB2312" w:hAnsi="Arial Unicode MS" w:cs="STKaiti,Bold" w:hint="eastAsia"/>
          <w:bCs/>
          <w:color w:val="000000" w:themeColor="text1"/>
          <w:kern w:val="0"/>
          <w:szCs w:val="21"/>
        </w:rPr>
        <w:t>天数为</w:t>
      </w:r>
      <w:r w:rsidR="00F412D0">
        <w:rPr>
          <w:rFonts w:ascii="仿宋_GB2312" w:eastAsia="仿宋_GB2312" w:hAnsi="Arial Unicode MS" w:cs="STKaiti,Bold" w:hint="eastAsia"/>
          <w:bCs/>
          <w:color w:val="000000" w:themeColor="text1"/>
          <w:kern w:val="0"/>
          <w:szCs w:val="21"/>
        </w:rPr>
        <w:t>9</w:t>
      </w:r>
      <w:r w:rsidR="00B50ECA">
        <w:rPr>
          <w:rFonts w:ascii="仿宋_GB2312" w:eastAsia="仿宋_GB2312" w:hAnsi="Arial Unicode MS" w:cs="STKaiti,Bold"/>
          <w:bCs/>
          <w:color w:val="000000" w:themeColor="text1"/>
          <w:kern w:val="0"/>
          <w:szCs w:val="21"/>
        </w:rPr>
        <w:t>2</w:t>
      </w:r>
      <w:r w:rsidR="00541ABA" w:rsidRPr="00570C51">
        <w:rPr>
          <w:rFonts w:ascii="仿宋_GB2312" w:eastAsia="仿宋_GB2312" w:hAnsi="Arial Unicode MS" w:cs="STKaiti,Bold" w:hint="eastAsia"/>
          <w:bCs/>
          <w:color w:val="000000" w:themeColor="text1"/>
          <w:kern w:val="0"/>
          <w:szCs w:val="21"/>
        </w:rPr>
        <w:t>天</w:t>
      </w:r>
      <w:r w:rsidR="007504F7">
        <w:rPr>
          <w:rFonts w:ascii="仿宋_GB2312" w:eastAsia="仿宋_GB2312" w:hAnsi="Arial Unicode MS" w:cs="STKaiti,Bold" w:hint="eastAsia"/>
          <w:bCs/>
          <w:color w:val="000000" w:themeColor="text1"/>
          <w:kern w:val="0"/>
          <w:szCs w:val="21"/>
        </w:rPr>
        <w:t>。</w:t>
      </w:r>
    </w:p>
    <w:tbl>
      <w:tblPr>
        <w:tblStyle w:val="ac"/>
        <w:tblW w:w="9878" w:type="dxa"/>
        <w:tblLayout w:type="fixed"/>
        <w:tblLook w:val="04A0" w:firstRow="1" w:lastRow="0" w:firstColumn="1" w:lastColumn="0" w:noHBand="0" w:noVBand="1"/>
      </w:tblPr>
      <w:tblGrid>
        <w:gridCol w:w="1974"/>
        <w:gridCol w:w="2308"/>
        <w:gridCol w:w="2630"/>
        <w:gridCol w:w="2966"/>
      </w:tblGrid>
      <w:tr w:rsidR="00745E2E" w:rsidTr="007504F7">
        <w:trPr>
          <w:trHeight w:val="811"/>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情景</w:t>
            </w:r>
          </w:p>
        </w:tc>
        <w:tc>
          <w:tcPr>
            <w:tcW w:w="2308"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挂钩标的表现情况</w:t>
            </w:r>
          </w:p>
        </w:tc>
        <w:tc>
          <w:tcPr>
            <w:tcW w:w="2630"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投资者预期年化收益率</w:t>
            </w:r>
          </w:p>
        </w:tc>
        <w:tc>
          <w:tcPr>
            <w:tcW w:w="2966"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投资者预期收益</w:t>
            </w:r>
          </w:p>
        </w:tc>
      </w:tr>
      <w:tr w:rsidR="00745E2E" w:rsidTr="007504F7">
        <w:trPr>
          <w:trHeight w:val="1217"/>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
                <w:bCs/>
                <w:color w:val="000000" w:themeColor="text1"/>
                <w:kern w:val="0"/>
                <w:szCs w:val="21"/>
              </w:rPr>
              <w:t>获得最高收益率</w:t>
            </w:r>
          </w:p>
        </w:tc>
        <w:tc>
          <w:tcPr>
            <w:tcW w:w="2308" w:type="dxa"/>
            <w:vAlign w:val="center"/>
          </w:tcPr>
          <w:p w:rsidR="00745E2E" w:rsidRPr="0013170E" w:rsidRDefault="0095492C" w:rsidP="002D68DC">
            <w:pPr>
              <w:autoSpaceDE w:val="0"/>
              <w:autoSpaceDN w:val="0"/>
              <w:spacing w:line="400" w:lineRule="exact"/>
              <w:jc w:val="center"/>
              <w:rPr>
                <w:rFonts w:ascii="仿宋_GB2312" w:eastAsia="仿宋_GB2312" w:hAnsi="Arial Unicode MS" w:cs="STKaiti,Bold"/>
                <w:bCs/>
                <w:color w:val="000000" w:themeColor="text1"/>
                <w:kern w:val="0"/>
                <w:szCs w:val="21"/>
              </w:rPr>
            </w:pPr>
            <w:r w:rsidRPr="0013170E">
              <w:rPr>
                <w:rFonts w:ascii="仿宋_GB2312" w:eastAsia="仿宋_GB2312" w:hAnsi="Arial Unicode MS" w:cs="STKaiti,Bold" w:hint="eastAsia"/>
                <w:bCs/>
                <w:color w:val="000000" w:themeColor="text1"/>
                <w:kern w:val="0"/>
                <w:szCs w:val="21"/>
              </w:rPr>
              <w:t>观察时点观察标的</w:t>
            </w:r>
            <w:r w:rsidR="00F412D0">
              <w:rPr>
                <w:rFonts w:ascii="仿宋_GB2312" w:eastAsia="仿宋_GB2312" w:hAnsi="Arial Unicode MS" w:cs="STKaiti,Bold" w:hint="eastAsia"/>
                <w:bCs/>
                <w:color w:val="000000" w:themeColor="text1"/>
                <w:kern w:val="0"/>
                <w:szCs w:val="21"/>
              </w:rPr>
              <w:t>低</w:t>
            </w:r>
            <w:r w:rsidRPr="0013170E">
              <w:rPr>
                <w:rFonts w:ascii="仿宋_GB2312" w:eastAsia="仿宋_GB2312" w:hAnsi="Arial Unicode MS" w:cs="STKaiti,Bold" w:hint="eastAsia"/>
                <w:bCs/>
                <w:color w:val="000000" w:themeColor="text1"/>
                <w:kern w:val="0"/>
                <w:szCs w:val="21"/>
              </w:rPr>
              <w:t>于观察标的</w:t>
            </w:r>
            <w:r w:rsidR="00F412D0">
              <w:rPr>
                <w:rFonts w:ascii="仿宋_GB2312" w:eastAsia="仿宋_GB2312" w:hAnsi="Arial Unicode MS" w:cs="STKaiti,Bold" w:hint="eastAsia"/>
                <w:bCs/>
                <w:color w:val="000000" w:themeColor="text1"/>
                <w:kern w:val="0"/>
                <w:szCs w:val="21"/>
              </w:rPr>
              <w:t>下</w:t>
            </w:r>
            <w:r w:rsidRPr="0013170E">
              <w:rPr>
                <w:rFonts w:ascii="仿宋_GB2312" w:eastAsia="仿宋_GB2312" w:hAnsi="Arial Unicode MS" w:cs="STKaiti,Bold" w:hint="eastAsia"/>
                <w:bCs/>
                <w:color w:val="000000" w:themeColor="text1"/>
                <w:kern w:val="0"/>
                <w:szCs w:val="21"/>
              </w:rPr>
              <w:t>限</w:t>
            </w:r>
          </w:p>
        </w:tc>
        <w:tc>
          <w:tcPr>
            <w:tcW w:w="2630" w:type="dxa"/>
            <w:vAlign w:val="center"/>
          </w:tcPr>
          <w:p w:rsidR="00745E2E" w:rsidRPr="007B5E69" w:rsidRDefault="00F412D0" w:rsidP="00C0505E">
            <w:pPr>
              <w:autoSpaceDE w:val="0"/>
              <w:autoSpaceDN w:val="0"/>
              <w:spacing w:line="400" w:lineRule="exact"/>
              <w:jc w:val="center"/>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3.0</w:t>
            </w:r>
            <w:r w:rsidR="00BF32B7">
              <w:rPr>
                <w:rFonts w:ascii="仿宋_GB2312" w:eastAsia="仿宋_GB2312" w:hAnsi="Arial Unicode MS" w:cs="STKaiti,Bold" w:hint="eastAsia"/>
                <w:bCs/>
                <w:color w:val="000000" w:themeColor="text1"/>
                <w:kern w:val="0"/>
                <w:szCs w:val="21"/>
              </w:rPr>
              <w:t>0</w:t>
            </w:r>
            <w:r w:rsidR="00796392">
              <w:rPr>
                <w:rFonts w:ascii="仿宋_GB2312" w:eastAsia="仿宋_GB2312" w:hAnsi="Arial Unicode MS" w:cs="STKaiti,Bold" w:hint="eastAsia"/>
                <w:bCs/>
                <w:color w:val="000000" w:themeColor="text1"/>
                <w:kern w:val="0"/>
                <w:szCs w:val="21"/>
              </w:rPr>
              <w:t>%</w:t>
            </w:r>
          </w:p>
        </w:tc>
        <w:tc>
          <w:tcPr>
            <w:tcW w:w="2966" w:type="dxa"/>
            <w:vAlign w:val="center"/>
          </w:tcPr>
          <w:p w:rsidR="00745E2E" w:rsidRPr="007B5E69" w:rsidRDefault="00745E2E" w:rsidP="008E0E60">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Cs/>
                <w:color w:val="000000" w:themeColor="text1"/>
                <w:kern w:val="0"/>
                <w:szCs w:val="21"/>
              </w:rPr>
              <w:t>100,000.00</w:t>
            </w:r>
            <w:r w:rsidRPr="007B5E69">
              <w:rPr>
                <w:rFonts w:ascii="仿宋_GB2312" w:eastAsia="仿宋_GB2312" w:hAnsi="宋体" w:hint="eastAsia"/>
                <w:color w:val="000000" w:themeColor="text1"/>
                <w:szCs w:val="21"/>
              </w:rPr>
              <w:sym w:font="Wingdings 2" w:char="F0CD"/>
            </w:r>
            <w:r w:rsidR="00F412D0">
              <w:rPr>
                <w:rFonts w:ascii="仿宋_GB2312" w:eastAsia="仿宋_GB2312" w:hAnsi="宋体" w:hint="eastAsia"/>
                <w:color w:val="000000" w:themeColor="text1"/>
                <w:szCs w:val="21"/>
              </w:rPr>
              <w:t>3.0</w:t>
            </w:r>
            <w:r w:rsidR="00BF32B7">
              <w:rPr>
                <w:rFonts w:ascii="仿宋_GB2312" w:eastAsia="仿宋_GB2312" w:hAnsi="宋体" w:hint="eastAsia"/>
                <w:color w:val="000000" w:themeColor="text1"/>
                <w:szCs w:val="21"/>
              </w:rPr>
              <w:t>0</w:t>
            </w:r>
            <w:r w:rsidRPr="007B5E69">
              <w:rPr>
                <w:rFonts w:ascii="仿宋_GB2312" w:eastAsia="仿宋_GB2312" w:hAnsi="宋体" w:hint="eastAsia"/>
                <w:color w:val="000000" w:themeColor="text1"/>
                <w:szCs w:val="21"/>
              </w:rPr>
              <w:t>%</w:t>
            </w:r>
            <w:r w:rsidRPr="007B5E69">
              <w:rPr>
                <w:rFonts w:ascii="仿宋_GB2312" w:eastAsia="仿宋_GB2312" w:hAnsi="宋体" w:hint="eastAsia"/>
                <w:color w:val="000000" w:themeColor="text1"/>
                <w:szCs w:val="21"/>
              </w:rPr>
              <w:sym w:font="Wingdings 2" w:char="F0CD"/>
            </w:r>
            <w:r w:rsidR="00F412D0">
              <w:rPr>
                <w:rFonts w:ascii="仿宋_GB2312" w:eastAsia="仿宋_GB2312" w:hAnsi="宋体" w:hint="eastAsia"/>
                <w:color w:val="000000" w:themeColor="text1"/>
                <w:szCs w:val="21"/>
              </w:rPr>
              <w:t>9</w:t>
            </w:r>
            <w:r w:rsidR="00B50ECA">
              <w:rPr>
                <w:rFonts w:ascii="仿宋_GB2312" w:eastAsia="仿宋_GB2312" w:hAnsi="宋体"/>
                <w:color w:val="000000" w:themeColor="text1"/>
                <w:szCs w:val="21"/>
              </w:rPr>
              <w:t>2</w:t>
            </w:r>
            <w:r w:rsidR="00662877">
              <w:rPr>
                <w:rFonts w:ascii="仿宋_GB2312" w:eastAsia="仿宋_GB2312" w:hAnsi="宋体" w:hint="eastAsia"/>
                <w:color w:val="000000" w:themeColor="text1"/>
                <w:szCs w:val="21"/>
              </w:rPr>
              <w:t>/365=</w:t>
            </w:r>
            <w:r w:rsidR="008E0E60">
              <w:rPr>
                <w:rFonts w:ascii="仿宋_GB2312" w:eastAsia="仿宋_GB2312" w:hAnsi="宋体"/>
                <w:color w:val="000000" w:themeColor="text1"/>
                <w:szCs w:val="21"/>
              </w:rPr>
              <w:t>756.16</w:t>
            </w:r>
            <w:r w:rsidRPr="007B5E69">
              <w:rPr>
                <w:rFonts w:ascii="仿宋_GB2312" w:eastAsia="仿宋_GB2312" w:hAnsi="宋体" w:hint="eastAsia"/>
                <w:color w:val="000000" w:themeColor="text1"/>
                <w:szCs w:val="21"/>
              </w:rPr>
              <w:t>元</w:t>
            </w:r>
          </w:p>
        </w:tc>
      </w:tr>
      <w:tr w:rsidR="00745E2E" w:rsidTr="007504F7">
        <w:trPr>
          <w:trHeight w:val="1217"/>
        </w:trPr>
        <w:tc>
          <w:tcPr>
            <w:tcW w:w="1974" w:type="dxa"/>
            <w:vAlign w:val="center"/>
          </w:tcPr>
          <w:p w:rsidR="00745E2E" w:rsidRPr="00870A0C"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870A0C">
              <w:rPr>
                <w:rFonts w:ascii="仿宋_GB2312" w:eastAsia="仿宋_GB2312" w:hAnsi="Arial Unicode MS" w:cs="STKaiti,Bold" w:hint="eastAsia"/>
                <w:b/>
                <w:bCs/>
                <w:color w:val="000000" w:themeColor="text1"/>
                <w:kern w:val="0"/>
                <w:szCs w:val="21"/>
              </w:rPr>
              <w:t>最不利情况下，获得保底收益率</w:t>
            </w:r>
          </w:p>
        </w:tc>
        <w:tc>
          <w:tcPr>
            <w:tcW w:w="2308" w:type="dxa"/>
            <w:vAlign w:val="center"/>
          </w:tcPr>
          <w:p w:rsidR="00745E2E" w:rsidRPr="0013170E" w:rsidRDefault="0095492C" w:rsidP="002D68DC">
            <w:pPr>
              <w:autoSpaceDE w:val="0"/>
              <w:autoSpaceDN w:val="0"/>
              <w:spacing w:line="400" w:lineRule="exact"/>
              <w:jc w:val="center"/>
              <w:rPr>
                <w:rFonts w:ascii="仿宋_GB2312" w:eastAsia="仿宋_GB2312" w:hAnsi="Arial Unicode MS" w:cs="STKaiti,Bold"/>
                <w:b/>
                <w:bCs/>
                <w:color w:val="000000" w:themeColor="text1"/>
                <w:kern w:val="0"/>
                <w:szCs w:val="21"/>
              </w:rPr>
            </w:pPr>
            <w:r w:rsidRPr="0013170E">
              <w:rPr>
                <w:rFonts w:ascii="仿宋_GB2312" w:eastAsia="仿宋_GB2312" w:hAnsi="Arial Unicode MS" w:cs="STKaiti,Bold" w:hint="eastAsia"/>
                <w:b/>
                <w:bCs/>
                <w:color w:val="000000" w:themeColor="text1"/>
                <w:kern w:val="0"/>
                <w:szCs w:val="21"/>
              </w:rPr>
              <w:t>观察时点观察标的</w:t>
            </w:r>
            <w:r w:rsidR="00F412D0">
              <w:rPr>
                <w:rFonts w:ascii="仿宋_GB2312" w:eastAsia="仿宋_GB2312" w:hAnsi="Arial Unicode MS" w:cs="STKaiti,Bold" w:hint="eastAsia"/>
                <w:b/>
                <w:bCs/>
                <w:color w:val="000000" w:themeColor="text1"/>
                <w:kern w:val="0"/>
                <w:szCs w:val="21"/>
              </w:rPr>
              <w:t>高</w:t>
            </w:r>
            <w:r w:rsidRPr="0013170E">
              <w:rPr>
                <w:rFonts w:ascii="仿宋_GB2312" w:eastAsia="仿宋_GB2312" w:hAnsi="Arial Unicode MS" w:cs="STKaiti,Bold" w:hint="eastAsia"/>
                <w:b/>
                <w:bCs/>
                <w:color w:val="000000" w:themeColor="text1"/>
                <w:kern w:val="0"/>
                <w:szCs w:val="21"/>
              </w:rPr>
              <w:t>于观察标的</w:t>
            </w:r>
            <w:r w:rsidR="00F412D0">
              <w:rPr>
                <w:rFonts w:ascii="仿宋_GB2312" w:eastAsia="仿宋_GB2312" w:hAnsi="Arial Unicode MS" w:cs="STKaiti,Bold" w:hint="eastAsia"/>
                <w:b/>
                <w:bCs/>
                <w:color w:val="000000" w:themeColor="text1"/>
                <w:kern w:val="0"/>
                <w:szCs w:val="21"/>
              </w:rPr>
              <w:t>上</w:t>
            </w:r>
            <w:r w:rsidRPr="0013170E">
              <w:rPr>
                <w:rFonts w:ascii="仿宋_GB2312" w:eastAsia="仿宋_GB2312" w:hAnsi="Arial Unicode MS" w:cs="STKaiti,Bold" w:hint="eastAsia"/>
                <w:b/>
                <w:bCs/>
                <w:color w:val="000000" w:themeColor="text1"/>
                <w:kern w:val="0"/>
                <w:szCs w:val="21"/>
              </w:rPr>
              <w:t>限</w:t>
            </w:r>
          </w:p>
        </w:tc>
        <w:tc>
          <w:tcPr>
            <w:tcW w:w="2630" w:type="dxa"/>
            <w:vAlign w:val="center"/>
          </w:tcPr>
          <w:p w:rsidR="00745E2E" w:rsidRPr="00870A0C" w:rsidRDefault="007D4B53" w:rsidP="00574A8F">
            <w:pPr>
              <w:autoSpaceDE w:val="0"/>
              <w:autoSpaceDN w:val="0"/>
              <w:spacing w:line="400" w:lineRule="exact"/>
              <w:jc w:val="center"/>
              <w:rPr>
                <w:rFonts w:ascii="仿宋_GB2312" w:eastAsia="仿宋_GB2312" w:hAnsi="Arial Unicode MS" w:cs="STKaiti,Bold"/>
                <w:b/>
                <w:bCs/>
                <w:color w:val="000000" w:themeColor="text1"/>
                <w:kern w:val="0"/>
                <w:szCs w:val="21"/>
              </w:rPr>
            </w:pPr>
            <w:r>
              <w:rPr>
                <w:rFonts w:ascii="仿宋_GB2312" w:eastAsia="仿宋_GB2312" w:hAnsi="Arial Unicode MS" w:cs="STKaiti,Bold" w:hint="eastAsia"/>
                <w:b/>
                <w:bCs/>
                <w:color w:val="000000" w:themeColor="text1"/>
                <w:kern w:val="0"/>
                <w:szCs w:val="21"/>
              </w:rPr>
              <w:t>1.7</w:t>
            </w:r>
            <w:r w:rsidR="00232F59">
              <w:rPr>
                <w:rFonts w:ascii="仿宋_GB2312" w:eastAsia="仿宋_GB2312" w:hAnsi="Arial Unicode MS" w:cs="STKaiti,Bold" w:hint="eastAsia"/>
                <w:b/>
                <w:bCs/>
                <w:color w:val="000000" w:themeColor="text1"/>
                <w:kern w:val="0"/>
                <w:szCs w:val="21"/>
              </w:rPr>
              <w:t>0</w:t>
            </w:r>
            <w:r w:rsidR="00796392">
              <w:rPr>
                <w:rFonts w:ascii="仿宋_GB2312" w:eastAsia="仿宋_GB2312" w:hAnsi="Arial Unicode MS" w:cs="STKaiti,Bold" w:hint="eastAsia"/>
                <w:b/>
                <w:bCs/>
                <w:color w:val="000000" w:themeColor="text1"/>
                <w:kern w:val="0"/>
                <w:szCs w:val="21"/>
              </w:rPr>
              <w:t>%</w:t>
            </w:r>
          </w:p>
        </w:tc>
        <w:tc>
          <w:tcPr>
            <w:tcW w:w="2966" w:type="dxa"/>
            <w:vAlign w:val="center"/>
          </w:tcPr>
          <w:p w:rsidR="00796392" w:rsidRDefault="00745E2E" w:rsidP="00796392">
            <w:pPr>
              <w:autoSpaceDE w:val="0"/>
              <w:autoSpaceDN w:val="0"/>
              <w:spacing w:line="400" w:lineRule="exact"/>
              <w:jc w:val="center"/>
              <w:rPr>
                <w:rFonts w:ascii="仿宋_GB2312" w:eastAsia="仿宋_GB2312" w:hAnsi="宋体"/>
                <w:b/>
                <w:color w:val="000000" w:themeColor="text1"/>
                <w:szCs w:val="21"/>
              </w:rPr>
            </w:pPr>
            <w:r w:rsidRPr="00870A0C">
              <w:rPr>
                <w:rFonts w:ascii="仿宋_GB2312" w:eastAsia="仿宋_GB2312" w:hAnsi="Arial Unicode MS" w:cs="STKaiti,Bold" w:hint="eastAsia"/>
                <w:b/>
                <w:bCs/>
                <w:color w:val="000000" w:themeColor="text1"/>
                <w:kern w:val="0"/>
                <w:szCs w:val="21"/>
              </w:rPr>
              <w:t>100,000.00</w:t>
            </w:r>
            <w:r w:rsidRPr="00870A0C">
              <w:rPr>
                <w:rFonts w:ascii="仿宋_GB2312" w:eastAsia="仿宋_GB2312" w:hAnsi="宋体" w:hint="eastAsia"/>
                <w:b/>
                <w:color w:val="000000" w:themeColor="text1"/>
                <w:szCs w:val="21"/>
              </w:rPr>
              <w:sym w:font="Wingdings 2" w:char="F0CD"/>
            </w:r>
            <w:r w:rsidR="007D4B53">
              <w:rPr>
                <w:rFonts w:ascii="仿宋_GB2312" w:eastAsia="仿宋_GB2312" w:hAnsi="宋体" w:hint="eastAsia"/>
                <w:b/>
                <w:color w:val="000000" w:themeColor="text1"/>
                <w:szCs w:val="21"/>
              </w:rPr>
              <w:t>1.7</w:t>
            </w:r>
            <w:r w:rsidR="00232F59">
              <w:rPr>
                <w:rFonts w:ascii="仿宋_GB2312" w:eastAsia="仿宋_GB2312" w:hAnsi="宋体" w:hint="eastAsia"/>
                <w:b/>
                <w:color w:val="000000" w:themeColor="text1"/>
                <w:szCs w:val="21"/>
              </w:rPr>
              <w:t>0</w:t>
            </w:r>
            <w:r w:rsidRPr="00870A0C">
              <w:rPr>
                <w:rFonts w:ascii="仿宋_GB2312" w:eastAsia="仿宋_GB2312" w:hAnsi="宋体" w:hint="eastAsia"/>
                <w:b/>
                <w:color w:val="000000" w:themeColor="text1"/>
                <w:szCs w:val="21"/>
              </w:rPr>
              <w:t>%</w:t>
            </w:r>
            <w:r w:rsidRPr="00870A0C">
              <w:rPr>
                <w:rFonts w:ascii="仿宋_GB2312" w:eastAsia="仿宋_GB2312" w:hAnsi="宋体" w:hint="eastAsia"/>
                <w:b/>
                <w:color w:val="000000" w:themeColor="text1"/>
                <w:szCs w:val="21"/>
              </w:rPr>
              <w:sym w:font="Wingdings 2" w:char="F0CD"/>
            </w:r>
            <w:r w:rsidR="00F412D0">
              <w:rPr>
                <w:rFonts w:ascii="仿宋_GB2312" w:eastAsia="仿宋_GB2312" w:hAnsi="宋体" w:hint="eastAsia"/>
                <w:b/>
                <w:color w:val="000000" w:themeColor="text1"/>
                <w:szCs w:val="21"/>
              </w:rPr>
              <w:t>9</w:t>
            </w:r>
            <w:r w:rsidR="00B50ECA">
              <w:rPr>
                <w:rFonts w:ascii="仿宋_GB2312" w:eastAsia="仿宋_GB2312" w:hAnsi="宋体"/>
                <w:b/>
                <w:color w:val="000000" w:themeColor="text1"/>
                <w:szCs w:val="21"/>
              </w:rPr>
              <w:t>2</w:t>
            </w:r>
            <w:r w:rsidRPr="00870A0C">
              <w:rPr>
                <w:rFonts w:ascii="仿宋_GB2312" w:eastAsia="仿宋_GB2312" w:hAnsi="宋体" w:hint="eastAsia"/>
                <w:b/>
                <w:color w:val="000000" w:themeColor="text1"/>
                <w:szCs w:val="21"/>
              </w:rPr>
              <w:t>/365</w:t>
            </w:r>
          </w:p>
          <w:p w:rsidR="00745E2E" w:rsidRPr="00870A0C" w:rsidRDefault="00745E2E" w:rsidP="008E0E60">
            <w:pPr>
              <w:autoSpaceDE w:val="0"/>
              <w:autoSpaceDN w:val="0"/>
              <w:spacing w:line="400" w:lineRule="exact"/>
              <w:jc w:val="center"/>
              <w:rPr>
                <w:rFonts w:ascii="仿宋_GB2312" w:eastAsia="仿宋_GB2312" w:hAnsi="Arial Unicode MS" w:cs="STKaiti,Bold"/>
                <w:b/>
                <w:bCs/>
                <w:color w:val="000000" w:themeColor="text1"/>
                <w:kern w:val="0"/>
                <w:szCs w:val="21"/>
              </w:rPr>
            </w:pPr>
            <w:r w:rsidRPr="00870A0C">
              <w:rPr>
                <w:rFonts w:ascii="仿宋_GB2312" w:eastAsia="仿宋_GB2312" w:hAnsi="宋体" w:hint="eastAsia"/>
                <w:b/>
                <w:color w:val="000000" w:themeColor="text1"/>
                <w:szCs w:val="21"/>
              </w:rPr>
              <w:t>=</w:t>
            </w:r>
            <w:r w:rsidR="008E0E60">
              <w:rPr>
                <w:rFonts w:ascii="仿宋_GB2312" w:eastAsia="仿宋_GB2312" w:hAnsi="宋体"/>
                <w:b/>
                <w:color w:val="000000" w:themeColor="text1"/>
                <w:szCs w:val="21"/>
              </w:rPr>
              <w:t>428.49</w:t>
            </w:r>
            <w:r w:rsidRPr="00870A0C">
              <w:rPr>
                <w:rFonts w:ascii="仿宋_GB2312" w:eastAsia="仿宋_GB2312" w:hAnsi="宋体" w:hint="eastAsia"/>
                <w:b/>
                <w:color w:val="000000" w:themeColor="text1"/>
                <w:szCs w:val="21"/>
              </w:rPr>
              <w:t>元</w:t>
            </w:r>
          </w:p>
        </w:tc>
      </w:tr>
      <w:tr w:rsidR="00745E2E" w:rsidTr="007504F7">
        <w:trPr>
          <w:trHeight w:val="1217"/>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
                <w:bCs/>
                <w:color w:val="000000" w:themeColor="text1"/>
                <w:kern w:val="0"/>
                <w:szCs w:val="21"/>
              </w:rPr>
              <w:t>获得收益率介于最高收益率和保底收益率之间</w:t>
            </w:r>
          </w:p>
        </w:tc>
        <w:tc>
          <w:tcPr>
            <w:tcW w:w="2308" w:type="dxa"/>
            <w:vAlign w:val="center"/>
          </w:tcPr>
          <w:p w:rsidR="00745E2E" w:rsidRPr="007B5E69" w:rsidRDefault="00796392" w:rsidP="00ED5CDA">
            <w:pPr>
              <w:autoSpaceDE w:val="0"/>
              <w:autoSpaceDN w:val="0"/>
              <w:spacing w:line="400" w:lineRule="exact"/>
              <w:jc w:val="center"/>
              <w:rPr>
                <w:rFonts w:ascii="仿宋_GB2312" w:eastAsia="仿宋_GB2312" w:hAnsi="Arial Unicode MS" w:cs="STKaiti,Bold"/>
                <w:bCs/>
                <w:color w:val="000000" w:themeColor="text1"/>
                <w:kern w:val="0"/>
                <w:szCs w:val="21"/>
              </w:rPr>
            </w:pPr>
            <w:r w:rsidRPr="00796392">
              <w:rPr>
                <w:rFonts w:ascii="仿宋_GB2312" w:eastAsia="仿宋_GB2312" w:hAnsi="Arial Unicode MS" w:cs="STKaiti,Bold" w:hint="eastAsia"/>
                <w:bCs/>
                <w:color w:val="000000" w:themeColor="text1"/>
                <w:kern w:val="0"/>
                <w:szCs w:val="21"/>
              </w:rPr>
              <w:t>观察时点观察标的</w:t>
            </w:r>
            <w:r w:rsidR="00ED5CDA">
              <w:rPr>
                <w:rFonts w:ascii="仿宋_GB2312" w:eastAsia="仿宋_GB2312" w:hAnsi="Arial Unicode MS" w:cs="STKaiti,Bold" w:hint="eastAsia"/>
                <w:bCs/>
                <w:color w:val="000000" w:themeColor="text1"/>
                <w:kern w:val="0"/>
                <w:szCs w:val="21"/>
              </w:rPr>
              <w:t>高于等于</w:t>
            </w:r>
            <w:r w:rsidRPr="00796392">
              <w:rPr>
                <w:rFonts w:ascii="仿宋_GB2312" w:eastAsia="仿宋_GB2312" w:hAnsi="Arial Unicode MS" w:cs="STKaiti,Bold" w:hint="eastAsia"/>
                <w:bCs/>
                <w:color w:val="000000" w:themeColor="text1"/>
                <w:kern w:val="0"/>
                <w:szCs w:val="21"/>
              </w:rPr>
              <w:t>观察标的下限且</w:t>
            </w:r>
            <w:r w:rsidR="00ED5CDA">
              <w:rPr>
                <w:rFonts w:ascii="仿宋_GB2312" w:eastAsia="仿宋_GB2312" w:hAnsi="Arial Unicode MS" w:cs="STKaiti,Bold" w:hint="eastAsia"/>
                <w:bCs/>
                <w:color w:val="000000" w:themeColor="text1"/>
                <w:kern w:val="0"/>
                <w:szCs w:val="21"/>
              </w:rPr>
              <w:t>低于等于</w:t>
            </w:r>
            <w:r w:rsidRPr="00796392">
              <w:rPr>
                <w:rFonts w:ascii="仿宋_GB2312" w:eastAsia="仿宋_GB2312" w:hAnsi="Arial Unicode MS" w:cs="STKaiti,Bold" w:hint="eastAsia"/>
                <w:bCs/>
                <w:color w:val="000000" w:themeColor="text1"/>
                <w:kern w:val="0"/>
                <w:szCs w:val="21"/>
              </w:rPr>
              <w:t>观察标的上限</w:t>
            </w:r>
          </w:p>
        </w:tc>
        <w:tc>
          <w:tcPr>
            <w:tcW w:w="2630" w:type="dxa"/>
            <w:vAlign w:val="center"/>
          </w:tcPr>
          <w:p w:rsidR="00745E2E" w:rsidRPr="007B5E69" w:rsidRDefault="00F412D0" w:rsidP="00C0505E">
            <w:pPr>
              <w:autoSpaceDE w:val="0"/>
              <w:autoSpaceDN w:val="0"/>
              <w:spacing w:line="400" w:lineRule="exact"/>
              <w:jc w:val="center"/>
              <w:rPr>
                <w:rFonts w:ascii="仿宋_GB2312" w:eastAsia="仿宋_GB2312" w:hAnsi="Arial Unicode MS" w:cs="STKaiti,Bold"/>
                <w:bCs/>
                <w:color w:val="000000" w:themeColor="text1"/>
                <w:kern w:val="0"/>
                <w:szCs w:val="21"/>
              </w:rPr>
            </w:pPr>
            <w:r>
              <w:rPr>
                <w:rFonts w:ascii="仿宋_GB2312" w:eastAsia="仿宋_GB2312" w:hAnsi="宋体"/>
                <w:color w:val="000000" w:themeColor="text1"/>
                <w:szCs w:val="21"/>
              </w:rPr>
              <w:t>2.80</w:t>
            </w:r>
            <w:r w:rsidR="00796392">
              <w:rPr>
                <w:rFonts w:ascii="仿宋_GB2312" w:eastAsia="仿宋_GB2312" w:hAnsi="宋体" w:hint="eastAsia"/>
                <w:color w:val="000000" w:themeColor="text1"/>
                <w:szCs w:val="21"/>
              </w:rPr>
              <w:t>%</w:t>
            </w:r>
          </w:p>
        </w:tc>
        <w:tc>
          <w:tcPr>
            <w:tcW w:w="2966" w:type="dxa"/>
            <w:vAlign w:val="center"/>
          </w:tcPr>
          <w:p w:rsidR="00796392" w:rsidRDefault="00745E2E" w:rsidP="00796392">
            <w:pPr>
              <w:autoSpaceDE w:val="0"/>
              <w:autoSpaceDN w:val="0"/>
              <w:spacing w:line="400" w:lineRule="exact"/>
              <w:jc w:val="center"/>
              <w:rPr>
                <w:rFonts w:ascii="仿宋_GB2312" w:eastAsia="仿宋_GB2312" w:hAnsi="宋体"/>
                <w:color w:val="000000" w:themeColor="text1"/>
                <w:szCs w:val="21"/>
              </w:rPr>
            </w:pPr>
            <w:r w:rsidRPr="007B5E69">
              <w:rPr>
                <w:rFonts w:ascii="仿宋_GB2312" w:eastAsia="仿宋_GB2312" w:hAnsi="Arial Unicode MS" w:cs="STKaiti,Bold" w:hint="eastAsia"/>
                <w:bCs/>
                <w:color w:val="000000" w:themeColor="text1"/>
                <w:kern w:val="0"/>
                <w:szCs w:val="21"/>
              </w:rPr>
              <w:t>100,000.00</w:t>
            </w:r>
            <w:r w:rsidRPr="007B5E69">
              <w:rPr>
                <w:rFonts w:ascii="仿宋_GB2312" w:eastAsia="仿宋_GB2312" w:hAnsi="宋体" w:hint="eastAsia"/>
                <w:color w:val="000000" w:themeColor="text1"/>
                <w:szCs w:val="21"/>
              </w:rPr>
              <w:sym w:font="Wingdings 2" w:char="F0CD"/>
            </w:r>
            <w:r w:rsidR="00F412D0">
              <w:rPr>
                <w:rFonts w:ascii="仿宋_GB2312" w:eastAsia="仿宋_GB2312" w:hAnsi="宋体"/>
                <w:color w:val="000000" w:themeColor="text1"/>
                <w:szCs w:val="21"/>
              </w:rPr>
              <w:t>2.80</w:t>
            </w:r>
            <w:r w:rsidRPr="007B5E69">
              <w:rPr>
                <w:rFonts w:ascii="仿宋_GB2312" w:eastAsia="仿宋_GB2312" w:hAnsi="宋体" w:hint="eastAsia"/>
                <w:color w:val="000000" w:themeColor="text1"/>
                <w:szCs w:val="21"/>
              </w:rPr>
              <w:t>%</w:t>
            </w:r>
            <w:r w:rsidRPr="007B5E69">
              <w:rPr>
                <w:rFonts w:ascii="仿宋_GB2312" w:eastAsia="仿宋_GB2312" w:hAnsi="宋体" w:hint="eastAsia"/>
                <w:color w:val="000000" w:themeColor="text1"/>
                <w:szCs w:val="21"/>
              </w:rPr>
              <w:sym w:font="Wingdings 2" w:char="F0CD"/>
            </w:r>
            <w:r w:rsidR="00F412D0">
              <w:rPr>
                <w:rFonts w:ascii="仿宋_GB2312" w:eastAsia="仿宋_GB2312" w:hAnsi="宋体" w:hint="eastAsia"/>
                <w:color w:val="000000" w:themeColor="text1"/>
                <w:szCs w:val="21"/>
              </w:rPr>
              <w:t>9</w:t>
            </w:r>
            <w:r w:rsidR="00B50ECA">
              <w:rPr>
                <w:rFonts w:ascii="仿宋_GB2312" w:eastAsia="仿宋_GB2312" w:hAnsi="宋体"/>
                <w:color w:val="000000" w:themeColor="text1"/>
                <w:szCs w:val="21"/>
              </w:rPr>
              <w:t>2</w:t>
            </w:r>
            <w:r w:rsidRPr="007B5E69">
              <w:rPr>
                <w:rFonts w:ascii="仿宋_GB2312" w:eastAsia="仿宋_GB2312" w:hAnsi="宋体" w:hint="eastAsia"/>
                <w:color w:val="000000" w:themeColor="text1"/>
                <w:szCs w:val="21"/>
              </w:rPr>
              <w:t>/365</w:t>
            </w:r>
          </w:p>
          <w:p w:rsidR="00745E2E" w:rsidRPr="007B5E69" w:rsidRDefault="00796392" w:rsidP="008E0E60">
            <w:pPr>
              <w:autoSpaceDE w:val="0"/>
              <w:autoSpaceDN w:val="0"/>
              <w:spacing w:line="400" w:lineRule="exact"/>
              <w:jc w:val="center"/>
              <w:rPr>
                <w:rFonts w:ascii="仿宋_GB2312" w:eastAsia="仿宋_GB2312" w:hAnsi="Arial Unicode MS" w:cs="STKaiti,Bold"/>
                <w:bCs/>
                <w:color w:val="000000" w:themeColor="text1"/>
                <w:kern w:val="0"/>
                <w:szCs w:val="21"/>
              </w:rPr>
            </w:pPr>
            <w:r>
              <w:rPr>
                <w:rFonts w:ascii="仿宋_GB2312" w:eastAsia="仿宋_GB2312" w:hAnsi="宋体" w:hint="eastAsia"/>
                <w:color w:val="000000" w:themeColor="text1"/>
                <w:szCs w:val="21"/>
              </w:rPr>
              <w:t>=</w:t>
            </w:r>
            <w:r w:rsidR="008E0E60">
              <w:rPr>
                <w:rFonts w:ascii="仿宋_GB2312" w:eastAsia="仿宋_GB2312" w:hAnsi="宋体"/>
                <w:color w:val="000000" w:themeColor="text1"/>
                <w:szCs w:val="21"/>
              </w:rPr>
              <w:t>705.75</w:t>
            </w:r>
            <w:r>
              <w:rPr>
                <w:rFonts w:ascii="仿宋_GB2312" w:eastAsia="仿宋_GB2312" w:hAnsi="宋体" w:hint="eastAsia"/>
                <w:color w:val="000000" w:themeColor="text1"/>
                <w:szCs w:val="21"/>
              </w:rPr>
              <w:t>元</w:t>
            </w:r>
          </w:p>
        </w:tc>
      </w:tr>
    </w:tbl>
    <w:p w:rsidR="008E7A32" w:rsidRPr="005A2B5B" w:rsidRDefault="00A24FB5" w:rsidP="00745E2E">
      <w:pPr>
        <w:autoSpaceDE w:val="0"/>
        <w:autoSpaceDN w:val="0"/>
        <w:spacing w:line="400" w:lineRule="exact"/>
        <w:ind w:leftChars="150" w:left="315"/>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注意：</w:t>
      </w:r>
      <w:r w:rsidR="009F5615" w:rsidRPr="005A2B5B">
        <w:rPr>
          <w:rFonts w:ascii="仿宋_GB2312" w:eastAsia="仿宋_GB2312" w:hAnsi="Arial Unicode MS" w:cs="STKaiti,Bold" w:hint="eastAsia"/>
          <w:b/>
          <w:bCs/>
          <w:color w:val="000000" w:themeColor="text1"/>
          <w:kern w:val="0"/>
          <w:szCs w:val="21"/>
        </w:rPr>
        <w:t>以上情景分析采用假设数据计算，假设情景下测算收益不等于实际收益，亦不构成收益承诺，投资须谨慎。</w:t>
      </w:r>
    </w:p>
    <w:p w:rsidR="00504610" w:rsidRPr="005A2B5B" w:rsidRDefault="00504610" w:rsidP="005A2B5B">
      <w:pPr>
        <w:autoSpaceDE w:val="0"/>
        <w:autoSpaceDN w:val="0"/>
        <w:spacing w:line="400" w:lineRule="exact"/>
        <w:ind w:left="315" w:hangingChars="150" w:hanging="315"/>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Cs/>
          <w:color w:val="000000" w:themeColor="text1"/>
          <w:kern w:val="0"/>
          <w:szCs w:val="21"/>
        </w:rPr>
        <w:t>3.5</w:t>
      </w:r>
      <w:r w:rsidRPr="005A2B5B">
        <w:rPr>
          <w:rFonts w:ascii="仿宋_GB2312" w:eastAsia="仿宋_GB2312" w:cs="楷体_GB2312" w:hint="eastAsia"/>
          <w:color w:val="000000" w:themeColor="text1"/>
          <w:szCs w:val="21"/>
        </w:rPr>
        <w:t>产品到期，投资者的本金及</w:t>
      </w:r>
      <w:r w:rsidR="005A2B5B">
        <w:rPr>
          <w:rFonts w:ascii="仿宋_GB2312" w:eastAsia="仿宋_GB2312" w:cs="楷体_GB2312" w:hint="eastAsia"/>
          <w:color w:val="000000" w:themeColor="text1"/>
          <w:szCs w:val="21"/>
        </w:rPr>
        <w:t>收益</w:t>
      </w:r>
      <w:r w:rsidRPr="005A2B5B">
        <w:rPr>
          <w:rFonts w:ascii="仿宋_GB2312" w:eastAsia="仿宋_GB2312" w:cs="楷体_GB2312" w:hint="eastAsia"/>
          <w:color w:val="000000" w:themeColor="text1"/>
          <w:szCs w:val="21"/>
        </w:rPr>
        <w:t>在产品到期后一次性兑付。杭州联合银行</w:t>
      </w:r>
      <w:r w:rsidRPr="005A2B5B">
        <w:rPr>
          <w:rFonts w:ascii="仿宋_GB2312" w:eastAsia="仿宋_GB2312" w:hAnsi="¿¬Ìå_GB2312" w:cs="¿¬Ìå_GB2312" w:hint="eastAsia"/>
          <w:color w:val="000000" w:themeColor="text1"/>
          <w:szCs w:val="21"/>
        </w:rPr>
        <w:t>在产品</w:t>
      </w:r>
      <w:r w:rsidRPr="005A2B5B">
        <w:rPr>
          <w:rFonts w:ascii="仿宋_GB2312" w:eastAsia="仿宋_GB2312" w:cs="楷体_GB2312" w:hint="eastAsia"/>
          <w:color w:val="000000" w:themeColor="text1"/>
          <w:szCs w:val="21"/>
        </w:rPr>
        <w:t>到期日</w:t>
      </w:r>
      <w:r w:rsidR="00100974">
        <w:rPr>
          <w:rFonts w:ascii="仿宋_GB2312" w:eastAsia="仿宋_GB2312" w:cs="楷体_GB2312" w:hint="eastAsia"/>
          <w:color w:val="000000" w:themeColor="text1"/>
          <w:szCs w:val="21"/>
        </w:rPr>
        <w:t>或提前终止日</w:t>
      </w:r>
      <w:r w:rsidRPr="005A2B5B">
        <w:rPr>
          <w:rFonts w:ascii="仿宋_GB2312" w:eastAsia="仿宋_GB2312" w:hAnsi="¿¬Ìå_GB2312" w:cs="¿¬Ìå_GB2312" w:hint="eastAsia"/>
          <w:color w:val="000000" w:themeColor="text1"/>
          <w:szCs w:val="21"/>
        </w:rPr>
        <w:t>后2个工作日内，向本产品</w:t>
      </w:r>
      <w:r w:rsidR="00337631">
        <w:rPr>
          <w:rFonts w:ascii="仿宋_GB2312" w:eastAsia="仿宋_GB2312" w:hAnsi="¿¬Ìå_GB2312" w:cs="¿¬Ìå_GB2312" w:hint="eastAsia"/>
          <w:color w:val="000000" w:themeColor="text1"/>
          <w:szCs w:val="21"/>
        </w:rPr>
        <w:t>投资者</w:t>
      </w:r>
      <w:r w:rsidRPr="005A2B5B">
        <w:rPr>
          <w:rFonts w:ascii="仿宋_GB2312" w:eastAsia="仿宋_GB2312" w:hAnsi="¿¬Ìå_GB2312" w:cs="¿¬Ìå_GB2312" w:hint="eastAsia"/>
          <w:color w:val="000000" w:themeColor="text1"/>
          <w:szCs w:val="21"/>
        </w:rPr>
        <w:t>进行本金及</w:t>
      </w:r>
      <w:r w:rsidR="005A2B5B">
        <w:rPr>
          <w:rFonts w:ascii="仿宋_GB2312" w:eastAsia="仿宋_GB2312" w:hAnsi="¿¬Ìå_GB2312" w:cs="¿¬Ìå_GB2312" w:hint="eastAsia"/>
          <w:color w:val="000000" w:themeColor="text1"/>
          <w:szCs w:val="21"/>
        </w:rPr>
        <w:t>收益</w:t>
      </w:r>
      <w:r w:rsidRPr="005A2B5B">
        <w:rPr>
          <w:rFonts w:ascii="仿宋_GB2312" w:eastAsia="仿宋_GB2312" w:hAnsi="¿¬Ìå_GB2312" w:cs="¿¬Ìå_GB2312" w:hint="eastAsia"/>
          <w:color w:val="000000" w:themeColor="text1"/>
          <w:szCs w:val="21"/>
        </w:rPr>
        <w:t>支付。</w:t>
      </w:r>
    </w:p>
    <w:p w:rsidR="00504610"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3.6结构性存款收益的应纳税款由</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自行申报及缴纳。</w:t>
      </w:r>
    </w:p>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提前终止</w:t>
      </w:r>
    </w:p>
    <w:p w:rsidR="008E7A32" w:rsidRPr="005A2B5B" w:rsidRDefault="00B00C16" w:rsidP="005A2B5B">
      <w:pPr>
        <w:spacing w:line="400" w:lineRule="exact"/>
        <w:ind w:left="420" w:hangingChars="200" w:hanging="420"/>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.1若市场发生变化</w:t>
      </w:r>
      <w:r w:rsidR="00D93784" w:rsidRPr="005A2B5B">
        <w:rPr>
          <w:rFonts w:ascii="仿宋_GB2312" w:eastAsia="仿宋_GB2312" w:hAnsi="Arial Unicode MS" w:cs="STKaiti,Bold" w:hint="eastAsia"/>
          <w:bCs/>
          <w:color w:val="000000" w:themeColor="text1"/>
          <w:kern w:val="0"/>
          <w:szCs w:val="21"/>
        </w:rPr>
        <w:t>或法律法规、外部监管</w:t>
      </w:r>
      <w:r w:rsidR="006F5F52" w:rsidRPr="005A2B5B">
        <w:rPr>
          <w:rFonts w:ascii="仿宋_GB2312" w:eastAsia="仿宋_GB2312" w:hAnsi="Arial Unicode MS" w:cs="STKaiti,Bold" w:hint="eastAsia"/>
          <w:bCs/>
          <w:color w:val="000000" w:themeColor="text1"/>
          <w:kern w:val="0"/>
          <w:szCs w:val="21"/>
        </w:rPr>
        <w:t>导致产品投资目的不能实现，为保护投资者利益，</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有权提前终止本产品。投资者无权提前终止本产品。</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将于提前终止日后的</w:t>
      </w:r>
      <w:r w:rsidR="00870A0C">
        <w:rPr>
          <w:rFonts w:ascii="仿宋_GB2312" w:eastAsia="仿宋_GB2312" w:hAnsi="Arial Unicode MS" w:cs="STKaiti,Bold" w:hint="eastAsia"/>
          <w:bCs/>
          <w:color w:val="000000" w:themeColor="text1"/>
          <w:kern w:val="0"/>
          <w:szCs w:val="21"/>
        </w:rPr>
        <w:t>5</w:t>
      </w:r>
      <w:r w:rsidR="006F5F52" w:rsidRPr="005A2B5B">
        <w:rPr>
          <w:rFonts w:ascii="仿宋_GB2312" w:eastAsia="仿宋_GB2312" w:hAnsi="Arial Unicode MS" w:cs="STKaiti,Bold" w:hint="eastAsia"/>
          <w:bCs/>
          <w:color w:val="000000" w:themeColor="text1"/>
          <w:kern w:val="0"/>
          <w:szCs w:val="21"/>
        </w:rPr>
        <w:t>个工作日内</w:t>
      </w:r>
      <w:r w:rsidR="008E7A32" w:rsidRPr="005A2B5B">
        <w:rPr>
          <w:rFonts w:ascii="仿宋_GB2312" w:eastAsia="仿宋_GB2312" w:hAnsi="Arial Unicode MS" w:cs="STKaiti,Bold" w:hint="eastAsia"/>
          <w:bCs/>
          <w:color w:val="000000" w:themeColor="text1"/>
          <w:kern w:val="0"/>
          <w:szCs w:val="21"/>
        </w:rPr>
        <w:t>发布相关信息公告。</w:t>
      </w:r>
    </w:p>
    <w:p w:rsidR="006F5F52" w:rsidRPr="005A2B5B" w:rsidRDefault="00B00C16" w:rsidP="005A2B5B">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.2</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对外公告的提前终止日，为本产品的实际到期日。</w:t>
      </w:r>
    </w:p>
    <w:p w:rsidR="006F5F52" w:rsidRPr="005A2B5B" w:rsidRDefault="00B00C16" w:rsidP="005A2B5B">
      <w:pPr>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.3产品提前终止时，本金</w:t>
      </w:r>
      <w:r w:rsidR="005A2B5B">
        <w:rPr>
          <w:rFonts w:ascii="仿宋_GB2312" w:eastAsia="仿宋_GB2312" w:hAnsi="Arial Unicode MS" w:cs="STKaiti,Bold" w:hint="eastAsia"/>
          <w:bCs/>
          <w:color w:val="000000" w:themeColor="text1"/>
          <w:kern w:val="0"/>
          <w:szCs w:val="21"/>
        </w:rPr>
        <w:t>收益</w:t>
      </w:r>
      <w:r w:rsidR="006F5F52" w:rsidRPr="005A2B5B">
        <w:rPr>
          <w:rFonts w:ascii="仿宋_GB2312" w:eastAsia="仿宋_GB2312" w:hAnsi="Arial Unicode MS" w:cs="STKaiti,Bold" w:hint="eastAsia"/>
          <w:bCs/>
          <w:color w:val="000000" w:themeColor="text1"/>
          <w:kern w:val="0"/>
          <w:szCs w:val="21"/>
        </w:rPr>
        <w:t>的计算和支付方式按照本说明书第</w:t>
      </w:r>
      <w:r w:rsidR="00D322F0" w:rsidRPr="005A2B5B">
        <w:rPr>
          <w:rFonts w:ascii="仿宋_GB2312" w:eastAsia="仿宋_GB2312" w:hAnsi="Arial Unicode MS" w:cs="STKaiti,Bold" w:hint="eastAsia"/>
          <w:bCs/>
          <w:color w:val="000000" w:themeColor="text1"/>
          <w:kern w:val="0"/>
          <w:szCs w:val="21"/>
        </w:rPr>
        <w:t>3</w:t>
      </w:r>
      <w:r w:rsidR="006F5F52" w:rsidRPr="005A2B5B">
        <w:rPr>
          <w:rFonts w:ascii="仿宋_GB2312" w:eastAsia="仿宋_GB2312" w:hAnsi="Arial Unicode MS" w:cs="STKaiti,Bold" w:hint="eastAsia"/>
          <w:bCs/>
          <w:color w:val="000000" w:themeColor="text1"/>
          <w:kern w:val="0"/>
          <w:szCs w:val="21"/>
        </w:rPr>
        <w:t>条执行。</w:t>
      </w:r>
    </w:p>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风险揭示</w:t>
      </w:r>
    </w:p>
    <w:p w:rsidR="006F5F52" w:rsidRPr="005A2B5B" w:rsidRDefault="006F5F52" w:rsidP="005A2B5B">
      <w:pPr>
        <w:spacing w:line="400" w:lineRule="exact"/>
        <w:ind w:firstLineChars="150" w:firstLine="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本产品有风险，您应在对相关风险有充分认识基础上，谨慎投资。详见</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风险揭示书</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w:t>
      </w:r>
    </w:p>
    <w:p w:rsidR="006F5F52" w:rsidRPr="006B14BA" w:rsidRDefault="007F4CCF"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Pr>
          <w:rFonts w:ascii="仿宋_GB2312" w:eastAsia="仿宋_GB2312" w:hAnsi="宋体" w:hint="eastAsia"/>
          <w:b/>
          <w:color w:val="000000" w:themeColor="text1"/>
          <w:sz w:val="24"/>
          <w:szCs w:val="21"/>
        </w:rPr>
        <w:t>投资者</w:t>
      </w:r>
      <w:r w:rsidR="002D06FB" w:rsidRPr="006B14BA">
        <w:rPr>
          <w:rFonts w:ascii="仿宋_GB2312" w:eastAsia="仿宋_GB2312" w:hAnsi="宋体" w:hint="eastAsia"/>
          <w:b/>
          <w:color w:val="000000" w:themeColor="text1"/>
          <w:sz w:val="24"/>
          <w:szCs w:val="21"/>
        </w:rPr>
        <w:t>权益须知</w:t>
      </w:r>
    </w:p>
    <w:p w:rsidR="006F5F52" w:rsidRPr="005A2B5B" w:rsidRDefault="008E7A32" w:rsidP="00AA11B5">
      <w:pPr>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详见</w:t>
      </w:r>
      <w:r w:rsidR="001B2B84">
        <w:rPr>
          <w:rFonts w:ascii="仿宋_GB2312" w:eastAsia="仿宋_GB2312" w:hAnsi="Arial Unicode MS" w:cs="STKaiti,Bold" w:hint="eastAsia"/>
          <w:bCs/>
          <w:color w:val="000000" w:themeColor="text1"/>
          <w:kern w:val="0"/>
          <w:szCs w:val="21"/>
        </w:rPr>
        <w:t>《</w:t>
      </w:r>
      <w:r w:rsidR="00337631">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权益须知</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w:t>
      </w:r>
      <w:r w:rsidR="006F5F52" w:rsidRPr="005A2B5B">
        <w:rPr>
          <w:rFonts w:ascii="仿宋_GB2312" w:eastAsia="仿宋_GB2312" w:hAnsi="Arial Unicode MS" w:cs="STKaiti,Bold" w:hint="eastAsia"/>
          <w:bCs/>
          <w:color w:val="000000" w:themeColor="text1"/>
          <w:kern w:val="0"/>
          <w:szCs w:val="21"/>
        </w:rPr>
        <w:t>如投资者有</w:t>
      </w:r>
      <w:r w:rsidR="001B2B84">
        <w:rPr>
          <w:rFonts w:ascii="仿宋_GB2312" w:eastAsia="仿宋_GB2312" w:hAnsi="Arial Unicode MS" w:cs="STKaiti,Bold" w:hint="eastAsia"/>
          <w:bCs/>
          <w:color w:val="000000" w:themeColor="text1"/>
          <w:kern w:val="0"/>
          <w:szCs w:val="21"/>
        </w:rPr>
        <w:t>意见或建议，</w:t>
      </w:r>
      <w:r w:rsidR="00AA11B5" w:rsidRPr="00AA11B5">
        <w:rPr>
          <w:rFonts w:ascii="仿宋_GB2312" w:eastAsia="仿宋_GB2312" w:hAnsi="Arial Unicode MS" w:cs="STKaiti,Bold" w:hint="eastAsia"/>
          <w:bCs/>
          <w:color w:val="000000" w:themeColor="text1"/>
          <w:kern w:val="0"/>
          <w:szCs w:val="21"/>
        </w:rPr>
        <w:t>请联系</w:t>
      </w:r>
      <w:r w:rsidR="006665B7">
        <w:rPr>
          <w:rFonts w:ascii="仿宋_GB2312" w:eastAsia="仿宋_GB2312" w:hAnsi="Arial Unicode MS" w:cs="STKaiti,Bold" w:hint="eastAsia"/>
          <w:bCs/>
          <w:color w:val="000000" w:themeColor="text1"/>
          <w:kern w:val="0"/>
          <w:szCs w:val="21"/>
        </w:rPr>
        <w:t>杭州联合银行</w:t>
      </w:r>
      <w:r w:rsidR="00AA11B5" w:rsidRPr="00AA11B5">
        <w:rPr>
          <w:rFonts w:ascii="仿宋_GB2312" w:eastAsia="仿宋_GB2312" w:hAnsi="Arial Unicode MS" w:cs="STKaiti,Bold" w:hint="eastAsia"/>
          <w:bCs/>
          <w:color w:val="000000" w:themeColor="text1"/>
          <w:kern w:val="0"/>
          <w:szCs w:val="21"/>
        </w:rPr>
        <w:t>各营业网点或致电</w:t>
      </w:r>
      <w:r w:rsidR="00AA11B5">
        <w:rPr>
          <w:rFonts w:ascii="仿宋_GB2312" w:eastAsia="仿宋_GB2312" w:hAnsi="Arial Unicode MS" w:cs="STKaiti,Bold" w:hint="eastAsia"/>
          <w:bCs/>
          <w:color w:val="000000" w:themeColor="text1"/>
          <w:kern w:val="0"/>
          <w:szCs w:val="21"/>
        </w:rPr>
        <w:t>投资者</w:t>
      </w:r>
      <w:r w:rsidR="00AA11B5" w:rsidRPr="00AA11B5">
        <w:rPr>
          <w:rFonts w:ascii="仿宋_GB2312" w:eastAsia="仿宋_GB2312" w:hAnsi="Arial Unicode MS" w:cs="STKaiti,Bold" w:hint="eastAsia"/>
          <w:bCs/>
          <w:color w:val="000000" w:themeColor="text1"/>
          <w:kern w:val="0"/>
          <w:szCs w:val="21"/>
        </w:rPr>
        <w:t>服务热线96596</w:t>
      </w:r>
      <w:r w:rsidR="00AA11B5">
        <w:rPr>
          <w:rFonts w:ascii="仿宋_GB2312" w:eastAsia="仿宋_GB2312" w:hAnsi="Arial Unicode MS" w:cs="STKaiti,Bold" w:hint="eastAsia"/>
          <w:bCs/>
          <w:color w:val="000000" w:themeColor="text1"/>
          <w:kern w:val="0"/>
          <w:szCs w:val="21"/>
        </w:rPr>
        <w:t>，</w:t>
      </w:r>
      <w:r w:rsidR="006F5F52" w:rsidRPr="005A2B5B">
        <w:rPr>
          <w:rFonts w:ascii="仿宋_GB2312" w:eastAsia="仿宋_GB2312" w:hAnsi="Arial Unicode MS" w:cs="STKaiti,Bold" w:hint="eastAsia"/>
          <w:bCs/>
          <w:color w:val="000000" w:themeColor="text1"/>
          <w:kern w:val="0"/>
          <w:szCs w:val="21"/>
        </w:rPr>
        <w:t>我们将及时向您反馈或作进一步的沟通和了解。</w:t>
      </w:r>
    </w:p>
    <w:p w:rsidR="008E7A32" w:rsidRPr="006B14BA" w:rsidRDefault="001346DF"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信息披露</w:t>
      </w:r>
    </w:p>
    <w:p w:rsidR="001346DF" w:rsidRPr="005A2B5B" w:rsidRDefault="006D71C2" w:rsidP="005A2B5B">
      <w:pPr>
        <w:autoSpaceDE w:val="0"/>
        <w:autoSpaceDN w:val="0"/>
        <w:spacing w:line="400" w:lineRule="exact"/>
        <w:ind w:left="315" w:hangingChars="150" w:hanging="315"/>
        <w:jc w:val="left"/>
        <w:rPr>
          <w:rFonts w:ascii="仿宋_GB2312" w:eastAsia="仿宋_GB2312" w:hAnsi="宋体"/>
          <w:b/>
          <w:color w:val="000000" w:themeColor="text1"/>
          <w:szCs w:val="21"/>
        </w:rPr>
      </w:pPr>
      <w:r w:rsidRPr="005A2B5B">
        <w:rPr>
          <w:rFonts w:ascii="仿宋_GB2312" w:eastAsia="仿宋_GB2312" w:hAnsi="Arial Unicode MS" w:cs="STKaiti,Bold" w:hint="eastAsia"/>
          <w:bCs/>
          <w:color w:val="000000" w:themeColor="text1"/>
          <w:kern w:val="0"/>
          <w:szCs w:val="21"/>
        </w:rPr>
        <w:lastRenderedPageBreak/>
        <w:t>7.1</w:t>
      </w:r>
      <w:r w:rsidR="001346DF" w:rsidRPr="005A2B5B">
        <w:rPr>
          <w:rFonts w:ascii="仿宋_GB2312" w:eastAsia="仿宋_GB2312" w:hAnsi="Arial Unicode MS" w:cs="STKaiti,Bold" w:hint="eastAsia"/>
          <w:bCs/>
          <w:color w:val="000000" w:themeColor="text1"/>
          <w:kern w:val="0"/>
          <w:szCs w:val="21"/>
        </w:rPr>
        <w:t>杭州联合银行将按照约定及时、准确地进行信息披露</w:t>
      </w:r>
      <w:r w:rsidR="00EF5C23" w:rsidRPr="005A2B5B">
        <w:rPr>
          <w:rFonts w:ascii="仿宋_GB2312" w:eastAsia="仿宋_GB2312" w:hAnsi="Arial Unicode MS" w:cs="STKaiti,Bold" w:hint="eastAsia"/>
          <w:bCs/>
          <w:color w:val="000000" w:themeColor="text1"/>
          <w:kern w:val="0"/>
          <w:szCs w:val="21"/>
        </w:rPr>
        <w:t>，</w:t>
      </w:r>
      <w:r w:rsidR="002E7CFF" w:rsidRPr="005A2B5B">
        <w:rPr>
          <w:rFonts w:ascii="仿宋_GB2312" w:eastAsia="仿宋_GB2312" w:hAnsi="Arial Unicode MS" w:cs="STKaiti,Bold" w:hint="eastAsia"/>
          <w:bCs/>
          <w:color w:val="000000" w:themeColor="text1"/>
          <w:kern w:val="0"/>
          <w:szCs w:val="21"/>
        </w:rPr>
        <w:t>产品成立后5个工作日内发布</w:t>
      </w:r>
      <w:r w:rsidR="00870A0C">
        <w:rPr>
          <w:rFonts w:ascii="仿宋_GB2312" w:eastAsia="仿宋_GB2312" w:hAnsi="Arial Unicode MS" w:cs="STKaiti,Bold" w:hint="eastAsia"/>
          <w:bCs/>
          <w:color w:val="000000" w:themeColor="text1"/>
          <w:kern w:val="0"/>
          <w:szCs w:val="21"/>
        </w:rPr>
        <w:t>成立</w:t>
      </w:r>
      <w:r w:rsidR="002E7CFF" w:rsidRPr="005A2B5B">
        <w:rPr>
          <w:rFonts w:ascii="仿宋_GB2312" w:eastAsia="仿宋_GB2312" w:hAnsi="Arial Unicode MS" w:cs="STKaiti,Bold" w:hint="eastAsia"/>
          <w:bCs/>
          <w:color w:val="000000" w:themeColor="text1"/>
          <w:kern w:val="0"/>
          <w:szCs w:val="21"/>
        </w:rPr>
        <w:t>公告；</w:t>
      </w:r>
      <w:r w:rsidR="001B2B84">
        <w:rPr>
          <w:rFonts w:ascii="仿宋_GB2312" w:eastAsia="仿宋_GB2312" w:hAnsi="Arial Unicode MS" w:cs="STKaiti,Bold" w:hint="eastAsia"/>
          <w:bCs/>
          <w:color w:val="000000" w:themeColor="text1"/>
          <w:kern w:val="0"/>
          <w:szCs w:val="21"/>
        </w:rPr>
        <w:t>按月提供产品账单；</w:t>
      </w:r>
      <w:r w:rsidR="001346DF" w:rsidRPr="005A2B5B">
        <w:rPr>
          <w:rFonts w:ascii="仿宋_GB2312" w:eastAsia="仿宋_GB2312" w:hAnsi="Arial Unicode MS" w:cs="STKaiti,Bold" w:hint="eastAsia"/>
          <w:bCs/>
          <w:color w:val="000000" w:themeColor="text1"/>
          <w:kern w:val="0"/>
          <w:szCs w:val="21"/>
        </w:rPr>
        <w:t>产品到期或终止</w:t>
      </w:r>
      <w:r w:rsidR="002E7CFF" w:rsidRPr="005A2B5B">
        <w:rPr>
          <w:rFonts w:ascii="仿宋_GB2312" w:eastAsia="仿宋_GB2312" w:hAnsi="Arial Unicode MS" w:cs="STKaiti,Bold" w:hint="eastAsia"/>
          <w:bCs/>
          <w:color w:val="000000" w:themeColor="text1"/>
          <w:kern w:val="0"/>
          <w:szCs w:val="21"/>
        </w:rPr>
        <w:t>后5个工作日发布到期公告，</w:t>
      </w:r>
      <w:r w:rsidR="001346DF" w:rsidRPr="005A2B5B">
        <w:rPr>
          <w:rFonts w:ascii="仿宋_GB2312" w:eastAsia="仿宋_GB2312" w:hAnsi="Arial Unicode MS" w:cs="STKaiti,Bold" w:hint="eastAsia"/>
          <w:bCs/>
          <w:color w:val="000000" w:themeColor="text1"/>
          <w:kern w:val="0"/>
          <w:szCs w:val="21"/>
        </w:rPr>
        <w:t>信息披露内容包括不限于挂钩标的表现、</w:t>
      </w:r>
      <w:r w:rsidR="007F4CCF">
        <w:rPr>
          <w:rFonts w:ascii="仿宋_GB2312" w:eastAsia="仿宋_GB2312" w:hAnsi="Arial Unicode MS" w:cs="STKaiti,Bold" w:hint="eastAsia"/>
          <w:bCs/>
          <w:color w:val="000000" w:themeColor="text1"/>
          <w:kern w:val="0"/>
          <w:szCs w:val="21"/>
        </w:rPr>
        <w:t>投资者</w:t>
      </w:r>
      <w:r w:rsidR="001346DF" w:rsidRPr="005A2B5B">
        <w:rPr>
          <w:rFonts w:ascii="仿宋_GB2312" w:eastAsia="仿宋_GB2312" w:hAnsi="Arial Unicode MS" w:cs="STKaiti,Bold" w:hint="eastAsia"/>
          <w:bCs/>
          <w:color w:val="000000" w:themeColor="text1"/>
          <w:kern w:val="0"/>
          <w:szCs w:val="21"/>
        </w:rPr>
        <w:t>实际到期收益率等。</w:t>
      </w:r>
    </w:p>
    <w:p w:rsidR="001346DF" w:rsidRPr="005A2B5B" w:rsidRDefault="006D71C2" w:rsidP="00100974">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7.2</w:t>
      </w:r>
      <w:r w:rsidR="001346DF" w:rsidRPr="005A2B5B">
        <w:rPr>
          <w:rFonts w:ascii="仿宋_GB2312" w:eastAsia="仿宋_GB2312" w:hAnsi="Arial Unicode MS" w:cs="STKaiti,Bold" w:hint="eastAsia"/>
          <w:bCs/>
          <w:color w:val="000000" w:themeColor="text1"/>
          <w:kern w:val="0"/>
          <w:szCs w:val="21"/>
        </w:rPr>
        <w:t>若发生产品提前终止的情形，杭州联合银行将按照本说明书的约定，发布产品提前终止的相关信息。</w:t>
      </w:r>
    </w:p>
    <w:p w:rsidR="001346DF" w:rsidRPr="005A2B5B" w:rsidRDefault="006D71C2" w:rsidP="00100974">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7.3</w:t>
      </w:r>
      <w:r w:rsidR="001346DF" w:rsidRPr="005A2B5B">
        <w:rPr>
          <w:rFonts w:ascii="仿宋_GB2312" w:eastAsia="仿宋_GB2312" w:hAnsi="Arial Unicode MS" w:cs="STKaiti,Bold" w:hint="eastAsia"/>
          <w:bCs/>
          <w:color w:val="000000" w:themeColor="text1"/>
          <w:kern w:val="0"/>
          <w:szCs w:val="21"/>
        </w:rPr>
        <w:t>若发生产品不成立的情形，杭州联合银行将按照本说明书的约定，发布产品不成立的相关信息。</w:t>
      </w:r>
    </w:p>
    <w:p w:rsidR="006D71C2" w:rsidRPr="005A2B5B" w:rsidRDefault="006D71C2" w:rsidP="005A2B5B">
      <w:pPr>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7.4</w:t>
      </w:r>
      <w:r w:rsidR="008836D3" w:rsidRPr="005A2B5B">
        <w:rPr>
          <w:rFonts w:ascii="仿宋_GB2312" w:eastAsia="仿宋_GB2312" w:hAnsi="Arial Unicode MS" w:cs="STKaiti,Bold" w:hint="eastAsia"/>
          <w:bCs/>
          <w:color w:val="000000" w:themeColor="text1"/>
          <w:kern w:val="0"/>
          <w:szCs w:val="21"/>
        </w:rPr>
        <w:t>其他杭州联合银行认为对</w:t>
      </w:r>
      <w:r w:rsidR="007F4CCF">
        <w:rPr>
          <w:rFonts w:ascii="仿宋_GB2312" w:eastAsia="仿宋_GB2312" w:hAnsi="Arial Unicode MS" w:cs="STKaiti,Bold" w:hint="eastAsia"/>
          <w:bCs/>
          <w:color w:val="000000" w:themeColor="text1"/>
          <w:kern w:val="0"/>
          <w:szCs w:val="21"/>
        </w:rPr>
        <w:t>投资者</w:t>
      </w:r>
      <w:r w:rsidR="008836D3" w:rsidRPr="005A2B5B">
        <w:rPr>
          <w:rFonts w:ascii="仿宋_GB2312" w:eastAsia="仿宋_GB2312" w:hAnsi="Arial Unicode MS" w:cs="STKaiti,Bold" w:hint="eastAsia"/>
          <w:bCs/>
          <w:color w:val="000000" w:themeColor="text1"/>
          <w:kern w:val="0"/>
          <w:szCs w:val="21"/>
        </w:rPr>
        <w:t>有重大影响而需要发布的重</w:t>
      </w:r>
      <w:r w:rsidRPr="005A2B5B">
        <w:rPr>
          <w:rFonts w:ascii="仿宋_GB2312" w:eastAsia="仿宋_GB2312" w:hAnsi="Arial Unicode MS" w:cs="STKaiti,Bold" w:hint="eastAsia"/>
          <w:bCs/>
          <w:color w:val="000000" w:themeColor="text1"/>
          <w:kern w:val="0"/>
          <w:szCs w:val="21"/>
        </w:rPr>
        <w:t>要信息。</w:t>
      </w:r>
    </w:p>
    <w:p w:rsidR="001346DF" w:rsidRPr="005A2B5B" w:rsidRDefault="006D71C2" w:rsidP="005A2B5B">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7.5</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确认并同意杭州联合银行以官网（www.urcb.com</w:t>
      </w:r>
      <w:r w:rsidR="00541ABA">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渠道披露信息，如因</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未及时查询或由于不可抗力、通讯故障以及其他非杭州联合银行过错原因导致</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无法及时了解本结构性存款产品</w:t>
      </w:r>
      <w:r w:rsidR="008836D3" w:rsidRPr="005A2B5B">
        <w:rPr>
          <w:rFonts w:ascii="仿宋_GB2312" w:eastAsia="仿宋_GB2312" w:hAnsi="Arial Unicode MS" w:cs="STKaiti,Bold" w:hint="eastAsia"/>
          <w:bCs/>
          <w:color w:val="000000" w:themeColor="text1"/>
          <w:kern w:val="0"/>
          <w:szCs w:val="21"/>
        </w:rPr>
        <w:t>信息，因此产生的全部损失和风险由</w:t>
      </w:r>
      <w:r w:rsidR="007F4CCF">
        <w:rPr>
          <w:rFonts w:ascii="仿宋_GB2312" w:eastAsia="仿宋_GB2312" w:hAnsi="Arial Unicode MS" w:cs="STKaiti,Bold" w:hint="eastAsia"/>
          <w:bCs/>
          <w:color w:val="000000" w:themeColor="text1"/>
          <w:kern w:val="0"/>
          <w:szCs w:val="21"/>
        </w:rPr>
        <w:t>投资者</w:t>
      </w:r>
      <w:r w:rsidR="008836D3" w:rsidRPr="005A2B5B">
        <w:rPr>
          <w:rFonts w:ascii="仿宋_GB2312" w:eastAsia="仿宋_GB2312" w:hAnsi="Arial Unicode MS" w:cs="STKaiti,Bold" w:hint="eastAsia"/>
          <w:bCs/>
          <w:color w:val="000000" w:themeColor="text1"/>
          <w:kern w:val="0"/>
          <w:szCs w:val="21"/>
        </w:rPr>
        <w:t>自行承担。</w:t>
      </w:r>
    </w:p>
    <w:p w:rsidR="008E7A32" w:rsidRPr="005A2B5B" w:rsidRDefault="008E7A32" w:rsidP="005A2B5B">
      <w:pPr>
        <w:spacing w:line="400" w:lineRule="exact"/>
        <w:jc w:val="left"/>
        <w:rPr>
          <w:rFonts w:ascii="仿宋_GB2312" w:eastAsia="仿宋_GB2312" w:hAnsi="Arial Unicode MS" w:cs="STKaiti,Bold"/>
          <w:b/>
          <w:bCs/>
          <w:color w:val="000000" w:themeColor="text1"/>
          <w:kern w:val="0"/>
          <w:szCs w:val="21"/>
        </w:rPr>
      </w:pPr>
    </w:p>
    <w:p w:rsidR="006F5F52" w:rsidRPr="005A2B5B" w:rsidRDefault="006F5F52" w:rsidP="005A2B5B">
      <w:pPr>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特别申明：</w:t>
      </w:r>
    </w:p>
    <w:p w:rsidR="004B447B" w:rsidRPr="005A2B5B" w:rsidRDefault="006F5F52" w:rsidP="005A2B5B">
      <w:pPr>
        <w:spacing w:line="400" w:lineRule="exact"/>
        <w:ind w:left="310" w:hangingChars="147" w:hanging="310"/>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1、若</w:t>
      </w:r>
      <w:r w:rsidR="00870A0C">
        <w:rPr>
          <w:rFonts w:ascii="仿宋_GB2312" w:eastAsia="仿宋_GB2312" w:hAnsi="Arial Unicode MS" w:cs="STKaiti,Bold" w:hint="eastAsia"/>
          <w:b/>
          <w:bCs/>
          <w:color w:val="000000" w:themeColor="text1"/>
          <w:kern w:val="0"/>
          <w:szCs w:val="21"/>
        </w:rPr>
        <w:t>您</w:t>
      </w:r>
      <w:r w:rsidRPr="005A2B5B">
        <w:rPr>
          <w:rFonts w:ascii="仿宋_GB2312" w:eastAsia="仿宋_GB2312" w:hAnsi="Arial Unicode MS" w:cs="STKaiti,Bold" w:hint="eastAsia"/>
          <w:b/>
          <w:bCs/>
          <w:color w:val="000000" w:themeColor="text1"/>
          <w:kern w:val="0"/>
          <w:szCs w:val="21"/>
        </w:rPr>
        <w:t>对本产品说明书内容有任何疑问，请向杭州联合银行销售人员咨询，本产品只根据本产品说明书所载事项操作。</w:t>
      </w:r>
    </w:p>
    <w:p w:rsidR="006F5F52" w:rsidRPr="005A2B5B" w:rsidRDefault="006F5F52" w:rsidP="005A2B5B">
      <w:pPr>
        <w:spacing w:line="400" w:lineRule="exact"/>
        <w:ind w:left="310" w:hangingChars="147" w:hanging="310"/>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2</w:t>
      </w:r>
      <w:r w:rsidR="001B2B84">
        <w:rPr>
          <w:rFonts w:ascii="仿宋_GB2312" w:eastAsia="仿宋_GB2312" w:hAnsi="Arial Unicode MS" w:cs="STKaiti,Bold" w:hint="eastAsia"/>
          <w:b/>
          <w:bCs/>
          <w:color w:val="000000" w:themeColor="text1"/>
          <w:kern w:val="0"/>
          <w:szCs w:val="21"/>
        </w:rPr>
        <w:t>、本产品说明书及</w:t>
      </w:r>
      <w:r w:rsidR="001B2B84" w:rsidRPr="001B2B84">
        <w:rPr>
          <w:rFonts w:ascii="仿宋_GB2312" w:eastAsia="仿宋_GB2312" w:hAnsi="Arial Unicode MS" w:cs="STKaiti,Bold" w:hint="eastAsia"/>
          <w:b/>
          <w:bCs/>
          <w:color w:val="000000" w:themeColor="text1"/>
          <w:kern w:val="0"/>
          <w:szCs w:val="21"/>
        </w:rPr>
        <w:t>配套《产品协议书》、《风险揭示书》、《</w:t>
      </w:r>
      <w:r w:rsidR="001B2B84" w:rsidRPr="001B2B84">
        <w:rPr>
          <w:rFonts w:ascii="仿宋_GB2312" w:eastAsia="仿宋_GB2312" w:hAnsi="Arial Unicode MS" w:cs="STKaiti,Bold"/>
          <w:b/>
          <w:bCs/>
          <w:color w:val="000000" w:themeColor="text1"/>
          <w:kern w:val="0"/>
          <w:szCs w:val="21"/>
        </w:rPr>
        <w:t>投资者权益须知</w:t>
      </w:r>
      <w:r w:rsidR="001B2B84" w:rsidRPr="001B2B84">
        <w:rPr>
          <w:rFonts w:ascii="仿宋_GB2312" w:eastAsia="仿宋_GB2312" w:hAnsi="Arial Unicode MS" w:cs="STKaiti,Bold" w:hint="eastAsia"/>
          <w:b/>
          <w:bCs/>
          <w:color w:val="000000" w:themeColor="text1"/>
          <w:kern w:val="0"/>
          <w:szCs w:val="21"/>
        </w:rPr>
        <w:t>》</w:t>
      </w:r>
      <w:r w:rsidRPr="005A2B5B">
        <w:rPr>
          <w:rFonts w:ascii="仿宋_GB2312" w:eastAsia="仿宋_GB2312" w:hAnsi="Arial Unicode MS" w:cs="STKaiti,Bold" w:hint="eastAsia"/>
          <w:b/>
          <w:bCs/>
          <w:color w:val="000000" w:themeColor="text1"/>
          <w:kern w:val="0"/>
          <w:szCs w:val="21"/>
        </w:rPr>
        <w:t>为不可分割之组成部分,</w:t>
      </w:r>
      <w:r w:rsidR="007F4CCF">
        <w:rPr>
          <w:rFonts w:ascii="仿宋_GB2312" w:eastAsia="仿宋_GB2312" w:hAnsi="Arial Unicode MS" w:cs="STKaiti,Bold" w:hint="eastAsia"/>
          <w:b/>
          <w:bCs/>
          <w:color w:val="000000" w:themeColor="text1"/>
          <w:kern w:val="0"/>
          <w:szCs w:val="21"/>
        </w:rPr>
        <w:t>投资者</w:t>
      </w:r>
      <w:r w:rsidR="00890D34">
        <w:rPr>
          <w:rFonts w:ascii="仿宋_GB2312" w:eastAsia="仿宋_GB2312" w:hAnsi="Arial Unicode MS" w:cs="STKaiti,Bold" w:hint="eastAsia"/>
          <w:b/>
          <w:bCs/>
          <w:color w:val="000000" w:themeColor="text1"/>
          <w:kern w:val="0"/>
          <w:szCs w:val="21"/>
        </w:rPr>
        <w:t>购买本产品需仔细阅读交易合同</w:t>
      </w:r>
      <w:r w:rsidRPr="005A2B5B">
        <w:rPr>
          <w:rFonts w:ascii="仿宋_GB2312" w:eastAsia="仿宋_GB2312" w:hAnsi="Arial Unicode MS" w:cs="STKaiti,Bold" w:hint="eastAsia"/>
          <w:b/>
          <w:bCs/>
          <w:color w:val="000000" w:themeColor="text1"/>
          <w:kern w:val="0"/>
          <w:szCs w:val="21"/>
        </w:rPr>
        <w:t>并签字确认。</w:t>
      </w:r>
    </w:p>
    <w:p w:rsidR="003347AB" w:rsidRPr="005A2B5B" w:rsidRDefault="00705B3A" w:rsidP="005A2B5B">
      <w:pPr>
        <w:spacing w:line="400" w:lineRule="exact"/>
        <w:ind w:left="306" w:hangingChars="145" w:hanging="306"/>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3</w:t>
      </w:r>
      <w:r w:rsidR="003347AB" w:rsidRPr="005A2B5B">
        <w:rPr>
          <w:rFonts w:ascii="仿宋_GB2312" w:eastAsia="仿宋_GB2312" w:hAnsi="Arial Unicode MS" w:cs="STKaiti,Bold" w:hint="eastAsia"/>
          <w:b/>
          <w:bCs/>
          <w:color w:val="000000" w:themeColor="text1"/>
          <w:kern w:val="0"/>
          <w:szCs w:val="21"/>
        </w:rPr>
        <w:t>、</w:t>
      </w:r>
      <w:r w:rsidR="00522460">
        <w:rPr>
          <w:rFonts w:ascii="仿宋_GB2312" w:eastAsia="仿宋_GB2312" w:hAnsi="Arial Unicode MS" w:cs="STKaiti,Bold" w:hint="eastAsia"/>
          <w:b/>
          <w:bCs/>
          <w:color w:val="000000" w:themeColor="text1"/>
          <w:kern w:val="0"/>
          <w:szCs w:val="21"/>
        </w:rPr>
        <w:t>产品</w:t>
      </w:r>
      <w:r w:rsidR="003347AB" w:rsidRPr="005A2B5B">
        <w:rPr>
          <w:rFonts w:ascii="仿宋_GB2312" w:eastAsia="仿宋_GB2312" w:hAnsi="Arial Unicode MS" w:cs="STKaiti,Bold" w:hint="eastAsia"/>
          <w:b/>
          <w:bCs/>
          <w:color w:val="000000" w:themeColor="text1"/>
          <w:kern w:val="0"/>
          <w:szCs w:val="21"/>
        </w:rPr>
        <w:t>期限内，如因国家法律法规、监管规定发生变化，或是出于维持本产品正常运营的需要，在不损害</w:t>
      </w:r>
      <w:r w:rsidR="003636A3" w:rsidRPr="005A2B5B">
        <w:rPr>
          <w:rFonts w:ascii="仿宋_GB2312" w:eastAsia="仿宋_GB2312" w:hAnsi="Arial Unicode MS" w:cs="STKaiti,Bold" w:hint="eastAsia"/>
          <w:b/>
          <w:bCs/>
          <w:color w:val="000000" w:themeColor="text1"/>
          <w:kern w:val="0"/>
          <w:szCs w:val="21"/>
        </w:rPr>
        <w:t>投资者</w:t>
      </w:r>
      <w:r w:rsidR="003347AB" w:rsidRPr="005A2B5B">
        <w:rPr>
          <w:rFonts w:ascii="仿宋_GB2312" w:eastAsia="仿宋_GB2312" w:hAnsi="Arial Unicode MS" w:cs="STKaiti,Bold" w:hint="eastAsia"/>
          <w:b/>
          <w:bCs/>
          <w:color w:val="000000" w:themeColor="text1"/>
          <w:kern w:val="0"/>
          <w:szCs w:val="21"/>
        </w:rPr>
        <w:t>利益的前提下，杭州联合银行有权单方对本产品说明书进行修订。杭州联合银行如决定对产品说明书修订的，将提前2个工作日以公告的形式通知相关</w:t>
      </w:r>
      <w:r w:rsidR="007F4CCF">
        <w:rPr>
          <w:rFonts w:ascii="仿宋_GB2312" w:eastAsia="仿宋_GB2312" w:hAnsi="Arial Unicode MS" w:cs="STKaiti,Bold" w:hint="eastAsia"/>
          <w:b/>
          <w:bCs/>
          <w:color w:val="000000" w:themeColor="text1"/>
          <w:kern w:val="0"/>
          <w:szCs w:val="21"/>
        </w:rPr>
        <w:t>投资者</w:t>
      </w:r>
      <w:r w:rsidR="003347AB" w:rsidRPr="005A2B5B">
        <w:rPr>
          <w:rFonts w:ascii="仿宋_GB2312" w:eastAsia="仿宋_GB2312" w:hAnsi="Arial Unicode MS" w:cs="STKaiti,Bold" w:hint="eastAsia"/>
          <w:b/>
          <w:bCs/>
          <w:color w:val="000000" w:themeColor="text1"/>
          <w:kern w:val="0"/>
          <w:szCs w:val="21"/>
        </w:rPr>
        <w:t>。</w:t>
      </w:r>
    </w:p>
    <w:p w:rsidR="006F5F52" w:rsidRPr="005A2B5B" w:rsidRDefault="00705B3A" w:rsidP="005A2B5B">
      <w:pPr>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4</w:t>
      </w:r>
      <w:r w:rsidR="006F5F52" w:rsidRPr="005A2B5B">
        <w:rPr>
          <w:rFonts w:ascii="仿宋_GB2312" w:eastAsia="仿宋_GB2312" w:hAnsi="Arial Unicode MS" w:cs="STKaiti,Bold" w:hint="eastAsia"/>
          <w:b/>
          <w:bCs/>
          <w:color w:val="000000" w:themeColor="text1"/>
          <w:kern w:val="0"/>
          <w:szCs w:val="21"/>
        </w:rPr>
        <w:t>、本产品说明书的解释权归</w:t>
      </w:r>
      <w:r w:rsidR="00870A0C">
        <w:rPr>
          <w:rFonts w:ascii="仿宋_GB2312" w:eastAsia="仿宋_GB2312" w:hAnsi="Arial Unicode MS" w:cs="STKaiti,Bold" w:hint="eastAsia"/>
          <w:b/>
          <w:bCs/>
          <w:color w:val="000000" w:themeColor="text1"/>
          <w:kern w:val="0"/>
          <w:szCs w:val="21"/>
        </w:rPr>
        <w:t>属</w:t>
      </w:r>
      <w:r w:rsidR="006F5F52" w:rsidRPr="005A2B5B">
        <w:rPr>
          <w:rFonts w:ascii="仿宋_GB2312" w:eastAsia="仿宋_GB2312" w:hAnsi="Arial Unicode MS" w:cs="STKaiti,Bold" w:hint="eastAsia"/>
          <w:b/>
          <w:bCs/>
          <w:color w:val="000000" w:themeColor="text1"/>
          <w:kern w:val="0"/>
          <w:szCs w:val="21"/>
        </w:rPr>
        <w:t>杭州联合银行所有。</w:t>
      </w:r>
    </w:p>
    <w:p w:rsidR="00DA583B" w:rsidRDefault="00DA583B">
      <w:pPr>
        <w:widowControl/>
        <w:jc w:val="left"/>
        <w:rPr>
          <w:rFonts w:ascii="仿宋_GB2312" w:eastAsia="仿宋_GB2312" w:hAnsi="宋体"/>
          <w:b/>
          <w:color w:val="000000" w:themeColor="text1"/>
          <w:szCs w:val="21"/>
        </w:rPr>
      </w:pPr>
      <w:r>
        <w:rPr>
          <w:rFonts w:ascii="仿宋_GB2312" w:eastAsia="仿宋_GB2312" w:hAnsi="宋体"/>
          <w:b/>
          <w:color w:val="000000" w:themeColor="text1"/>
          <w:szCs w:val="21"/>
        </w:rPr>
        <w:br w:type="page"/>
      </w:r>
    </w:p>
    <w:p w:rsidR="00DA583B" w:rsidRDefault="00DA583B" w:rsidP="00DA583B">
      <w:pPr>
        <w:jc w:val="center"/>
        <w:rPr>
          <w:b/>
          <w:sz w:val="28"/>
        </w:rPr>
      </w:pPr>
      <w:r>
        <w:rPr>
          <w:b/>
          <w:sz w:val="28"/>
        </w:rPr>
        <w:lastRenderedPageBreak/>
        <w:t>杭州联合银行</w:t>
      </w:r>
      <w:r>
        <w:rPr>
          <w:rFonts w:hint="eastAsia"/>
          <w:b/>
          <w:sz w:val="28"/>
        </w:rPr>
        <w:t>结构性存款</w:t>
      </w:r>
      <w:r>
        <w:rPr>
          <w:b/>
          <w:sz w:val="28"/>
        </w:rPr>
        <w:t>产品投资</w:t>
      </w:r>
      <w:r>
        <w:rPr>
          <w:rFonts w:hint="eastAsia"/>
          <w:b/>
          <w:sz w:val="28"/>
        </w:rPr>
        <w:t>者</w:t>
      </w:r>
      <w:r>
        <w:rPr>
          <w:b/>
          <w:sz w:val="28"/>
        </w:rPr>
        <w:t>权益须知</w:t>
      </w:r>
    </w:p>
    <w:p w:rsidR="00DA583B" w:rsidRDefault="00DA583B" w:rsidP="00DA583B">
      <w:pPr>
        <w:pStyle w:val="ad"/>
        <w:spacing w:before="8"/>
        <w:jc w:val="center"/>
        <w:rPr>
          <w:b/>
          <w:sz w:val="33"/>
        </w:rPr>
      </w:pPr>
    </w:p>
    <w:p w:rsidR="00DA583B" w:rsidRDefault="00DA583B" w:rsidP="00DA583B">
      <w:pPr>
        <w:pStyle w:val="ad"/>
        <w:ind w:left="520"/>
      </w:pPr>
      <w:r>
        <w:t>尊敬的投资</w:t>
      </w:r>
      <w:r>
        <w:rPr>
          <w:rFonts w:hint="eastAsia"/>
        </w:rPr>
        <w:t>者</w:t>
      </w:r>
      <w:r>
        <w:t>：</w:t>
      </w:r>
    </w:p>
    <w:p w:rsidR="00DA583B" w:rsidRDefault="00DA583B" w:rsidP="00DA583B">
      <w:pPr>
        <w:ind w:left="520" w:right="513" w:firstLine="422"/>
      </w:pPr>
      <w:r>
        <w:rPr>
          <w:spacing w:val="-5"/>
        </w:rPr>
        <w:t>杭州联合农村商业银行股份有限公司</w:t>
      </w:r>
      <w:r>
        <w:rPr>
          <w:spacing w:val="-3"/>
        </w:rPr>
        <w:t>（</w:t>
      </w:r>
      <w:r>
        <w:rPr>
          <w:spacing w:val="-19"/>
        </w:rPr>
        <w:t>以下简称</w:t>
      </w:r>
      <w:r>
        <w:rPr>
          <w:spacing w:val="-19"/>
        </w:rPr>
        <w:t>“</w:t>
      </w:r>
      <w:r>
        <w:rPr>
          <w:rFonts w:hint="eastAsia"/>
          <w:spacing w:val="-19"/>
        </w:rPr>
        <w:t>本</w:t>
      </w:r>
      <w:r>
        <w:rPr>
          <w:spacing w:val="-19"/>
        </w:rPr>
        <w:t>行</w:t>
      </w:r>
      <w:r>
        <w:rPr>
          <w:spacing w:val="-19"/>
        </w:rPr>
        <w:t>”</w:t>
      </w:r>
      <w:r>
        <w:rPr>
          <w:spacing w:val="-22"/>
        </w:rPr>
        <w:t>）</w:t>
      </w:r>
      <w:r>
        <w:rPr>
          <w:spacing w:val="-24"/>
        </w:rPr>
        <w:t>郑重提示，</w:t>
      </w:r>
      <w:r>
        <w:rPr>
          <w:spacing w:val="-24"/>
        </w:rPr>
        <w:t>“</w:t>
      </w:r>
      <w:r>
        <w:rPr>
          <w:rFonts w:hint="eastAsia"/>
          <w:b/>
          <w:spacing w:val="-4"/>
        </w:rPr>
        <w:t>结构性存款不同于一般性存款，具有投资风险，您应充分认识投资风险，谨慎投资</w:t>
      </w:r>
      <w:r>
        <w:rPr>
          <w:b/>
          <w:spacing w:val="-14"/>
        </w:rPr>
        <w:t>”</w:t>
      </w:r>
      <w:r>
        <w:rPr>
          <w:b/>
          <w:spacing w:val="-14"/>
        </w:rPr>
        <w:t>，</w:t>
      </w:r>
      <w:r>
        <w:rPr>
          <w:spacing w:val="-3"/>
        </w:rPr>
        <w:t>为保护您的合法权益，请在购买</w:t>
      </w:r>
      <w:r>
        <w:rPr>
          <w:rFonts w:hint="eastAsia"/>
          <w:spacing w:val="-3"/>
        </w:rPr>
        <w:t>本</w:t>
      </w:r>
      <w:r>
        <w:rPr>
          <w:spacing w:val="-3"/>
        </w:rPr>
        <w:t>行</w:t>
      </w:r>
      <w:r>
        <w:rPr>
          <w:rFonts w:hint="eastAsia"/>
          <w:spacing w:val="-3"/>
        </w:rPr>
        <w:t>结构性存款产品</w:t>
      </w:r>
      <w:r>
        <w:rPr>
          <w:spacing w:val="-3"/>
        </w:rPr>
        <w:t>前认真阅读以下内容：</w:t>
      </w:r>
    </w:p>
    <w:p w:rsidR="00DA583B" w:rsidRDefault="00DA583B" w:rsidP="00DA583B">
      <w:pPr>
        <w:pStyle w:val="1"/>
      </w:pPr>
      <w:r>
        <w:t>一、</w:t>
      </w:r>
      <w:r>
        <w:rPr>
          <w:rFonts w:hint="eastAsia"/>
        </w:rPr>
        <w:t>结构性存款</w:t>
      </w:r>
      <w:r>
        <w:t>办理流程</w:t>
      </w:r>
    </w:p>
    <w:p w:rsidR="00DA583B" w:rsidRDefault="00DA583B" w:rsidP="00DA583B">
      <w:pPr>
        <w:pStyle w:val="ad"/>
        <w:ind w:left="520" w:right="513" w:firstLine="422"/>
        <w:rPr>
          <w:spacing w:val="-9"/>
        </w:rPr>
      </w:pPr>
      <w:r>
        <w:rPr>
          <w:spacing w:val="-9"/>
        </w:rPr>
        <w:t>1</w:t>
      </w:r>
      <w:r>
        <w:rPr>
          <w:spacing w:val="-9"/>
        </w:rPr>
        <w:t>、风险承受能力评估。</w:t>
      </w:r>
      <w:r>
        <w:rPr>
          <w:rFonts w:hint="eastAsia"/>
          <w:spacing w:val="-9"/>
        </w:rPr>
        <w:t>个人投资者</w:t>
      </w:r>
      <w:r>
        <w:rPr>
          <w:spacing w:val="-9"/>
        </w:rPr>
        <w:t>须自主进行风险承受能力评估，通过风险承受能力评估，投资</w:t>
      </w:r>
      <w:r>
        <w:rPr>
          <w:rFonts w:hint="eastAsia"/>
          <w:spacing w:val="-9"/>
        </w:rPr>
        <w:t>者</w:t>
      </w:r>
      <w:r>
        <w:rPr>
          <w:spacing w:val="-9"/>
        </w:rPr>
        <w:t>可以清楚了解自身的风险承受能力和可购买的</w:t>
      </w:r>
      <w:r>
        <w:rPr>
          <w:rFonts w:hint="eastAsia"/>
          <w:spacing w:val="-9"/>
        </w:rPr>
        <w:t>结构性存款</w:t>
      </w:r>
      <w:r>
        <w:rPr>
          <w:spacing w:val="-9"/>
        </w:rPr>
        <w:t>产品风险等级。</w:t>
      </w:r>
    </w:p>
    <w:p w:rsidR="00DA583B" w:rsidRDefault="00DA583B" w:rsidP="00DA583B">
      <w:pPr>
        <w:pStyle w:val="ad"/>
        <w:ind w:left="520" w:right="513"/>
        <w:rPr>
          <w:spacing w:val="-9"/>
        </w:rPr>
      </w:pPr>
      <w:r>
        <w:rPr>
          <w:rFonts w:hint="eastAsia"/>
          <w:spacing w:val="-9"/>
        </w:rPr>
        <w:t xml:space="preserve">     </w:t>
      </w:r>
      <w:r>
        <w:rPr>
          <w:rFonts w:hint="eastAsia"/>
          <w:spacing w:val="-9"/>
        </w:rPr>
        <w:t>机构投资者请根据自身的财务状况、投资经验、投资目标、风险认知、风险判断及其他因素综合考量结构性存款产品的投资风险及自身的风险承受能力，本行不再进行风险承受能力评估。</w:t>
      </w:r>
    </w:p>
    <w:p w:rsidR="00DA583B" w:rsidRDefault="00DA583B" w:rsidP="00DA583B">
      <w:pPr>
        <w:pStyle w:val="ad"/>
        <w:ind w:left="520" w:right="511" w:firstLine="422"/>
        <w:rPr>
          <w:spacing w:val="-9"/>
        </w:rPr>
      </w:pPr>
      <w:r>
        <w:rPr>
          <w:spacing w:val="-9"/>
        </w:rPr>
        <w:t>2</w:t>
      </w:r>
      <w:r>
        <w:rPr>
          <w:spacing w:val="-9"/>
        </w:rPr>
        <w:t>、阅读</w:t>
      </w:r>
      <w:r>
        <w:rPr>
          <w:rFonts w:hint="eastAsia"/>
          <w:spacing w:val="-9"/>
        </w:rPr>
        <w:t>结构性存款</w:t>
      </w:r>
      <w:r>
        <w:rPr>
          <w:spacing w:val="-9"/>
        </w:rPr>
        <w:t>产品销售文件。投资</w:t>
      </w:r>
      <w:r>
        <w:rPr>
          <w:rFonts w:hint="eastAsia"/>
          <w:spacing w:val="-9"/>
        </w:rPr>
        <w:t>者</w:t>
      </w:r>
      <w:r>
        <w:rPr>
          <w:spacing w:val="-9"/>
        </w:rPr>
        <w:t>应仔细阅读拟购买</w:t>
      </w:r>
      <w:r>
        <w:rPr>
          <w:rFonts w:hint="eastAsia"/>
          <w:spacing w:val="-9"/>
        </w:rPr>
        <w:t>结构性存款</w:t>
      </w:r>
      <w:r>
        <w:rPr>
          <w:spacing w:val="-9"/>
        </w:rPr>
        <w:t>产品销售文件（以下简称</w:t>
      </w:r>
      <w:r>
        <w:rPr>
          <w:spacing w:val="-9"/>
        </w:rPr>
        <w:t>“</w:t>
      </w:r>
      <w:r>
        <w:rPr>
          <w:spacing w:val="-9"/>
        </w:rPr>
        <w:t>销售文件</w:t>
      </w:r>
      <w:r>
        <w:rPr>
          <w:spacing w:val="-9"/>
        </w:rPr>
        <w:t>”</w:t>
      </w:r>
      <w:r>
        <w:rPr>
          <w:spacing w:val="-9"/>
        </w:rPr>
        <w:t>），销售文件包括：</w:t>
      </w:r>
      <w:r>
        <w:rPr>
          <w:rFonts w:hint="eastAsia"/>
          <w:spacing w:val="-9"/>
        </w:rPr>
        <w:t>《</w:t>
      </w:r>
      <w:r>
        <w:rPr>
          <w:spacing w:val="-9"/>
        </w:rPr>
        <w:t>产品协议书</w:t>
      </w:r>
      <w:r>
        <w:rPr>
          <w:rFonts w:hint="eastAsia"/>
          <w:spacing w:val="-9"/>
        </w:rPr>
        <w:t>》</w:t>
      </w:r>
      <w:r>
        <w:rPr>
          <w:spacing w:val="-9"/>
        </w:rPr>
        <w:t>、</w:t>
      </w:r>
      <w:r>
        <w:rPr>
          <w:rFonts w:hint="eastAsia"/>
          <w:spacing w:val="-9"/>
        </w:rPr>
        <w:t>《</w:t>
      </w:r>
      <w:r>
        <w:rPr>
          <w:spacing w:val="-9"/>
        </w:rPr>
        <w:t>产品说明书</w:t>
      </w:r>
      <w:r>
        <w:rPr>
          <w:rFonts w:hint="eastAsia"/>
          <w:spacing w:val="-9"/>
        </w:rPr>
        <w:t>》</w:t>
      </w:r>
      <w:r>
        <w:rPr>
          <w:spacing w:val="-9"/>
        </w:rPr>
        <w:t>、</w:t>
      </w:r>
      <w:r>
        <w:rPr>
          <w:rFonts w:hint="eastAsia"/>
          <w:spacing w:val="-9"/>
        </w:rPr>
        <w:t>《</w:t>
      </w:r>
      <w:r>
        <w:rPr>
          <w:spacing w:val="-9"/>
        </w:rPr>
        <w:t>风险揭示书</w:t>
      </w:r>
      <w:r>
        <w:rPr>
          <w:rFonts w:hint="eastAsia"/>
          <w:spacing w:val="-9"/>
        </w:rPr>
        <w:t>》</w:t>
      </w:r>
      <w:r>
        <w:rPr>
          <w:spacing w:val="-9"/>
        </w:rPr>
        <w:t>、</w:t>
      </w:r>
      <w:r>
        <w:rPr>
          <w:rFonts w:hint="eastAsia"/>
          <w:spacing w:val="-9"/>
        </w:rPr>
        <w:t>《</w:t>
      </w:r>
      <w:r>
        <w:rPr>
          <w:spacing w:val="-9"/>
        </w:rPr>
        <w:t>投资</w:t>
      </w:r>
      <w:r>
        <w:rPr>
          <w:rFonts w:hint="eastAsia"/>
          <w:spacing w:val="-9"/>
        </w:rPr>
        <w:t>者</w:t>
      </w:r>
      <w:r>
        <w:rPr>
          <w:spacing w:val="-9"/>
        </w:rPr>
        <w:t>权益须知</w:t>
      </w:r>
      <w:r>
        <w:rPr>
          <w:rFonts w:hint="eastAsia"/>
          <w:spacing w:val="-9"/>
        </w:rPr>
        <w:t>》</w:t>
      </w:r>
      <w:r>
        <w:rPr>
          <w:spacing w:val="-9"/>
        </w:rPr>
        <w:t>。</w:t>
      </w:r>
    </w:p>
    <w:p w:rsidR="00DA583B" w:rsidRDefault="00DA583B" w:rsidP="00DA583B">
      <w:pPr>
        <w:pStyle w:val="ad"/>
        <w:ind w:left="520" w:right="511" w:firstLine="422"/>
        <w:rPr>
          <w:spacing w:val="-9"/>
        </w:rPr>
      </w:pPr>
      <w:r>
        <w:rPr>
          <w:spacing w:val="-9"/>
        </w:rPr>
        <w:t>3</w:t>
      </w:r>
      <w:r>
        <w:rPr>
          <w:spacing w:val="-9"/>
        </w:rPr>
        <w:t>、认</w:t>
      </w:r>
      <w:r>
        <w:rPr>
          <w:rFonts w:hint="eastAsia"/>
          <w:spacing w:val="-9"/>
        </w:rPr>
        <w:t>/</w:t>
      </w:r>
      <w:r>
        <w:rPr>
          <w:rFonts w:hint="eastAsia"/>
          <w:spacing w:val="-9"/>
        </w:rPr>
        <w:t>申</w:t>
      </w:r>
      <w:r>
        <w:rPr>
          <w:spacing w:val="-9"/>
        </w:rPr>
        <w:t>购申请。投资</w:t>
      </w:r>
      <w:r>
        <w:rPr>
          <w:rFonts w:hint="eastAsia"/>
          <w:spacing w:val="-9"/>
        </w:rPr>
        <w:t>者</w:t>
      </w:r>
      <w:r>
        <w:rPr>
          <w:spacing w:val="-9"/>
        </w:rPr>
        <w:t>须自主决定是否购买，个人投资者持本人有效身份证件及在</w:t>
      </w:r>
      <w:r>
        <w:rPr>
          <w:rFonts w:hint="eastAsia"/>
          <w:spacing w:val="-9"/>
        </w:rPr>
        <w:t>本</w:t>
      </w:r>
      <w:r>
        <w:rPr>
          <w:spacing w:val="-9"/>
        </w:rPr>
        <w:t>行开立的存折或借记卡（存入足额资金）办理；</w:t>
      </w:r>
      <w:r>
        <w:rPr>
          <w:rFonts w:hint="eastAsia"/>
          <w:spacing w:val="-9"/>
        </w:rPr>
        <w:t>如为代理办理的还应同时提供代理人有效身份证件。</w:t>
      </w:r>
      <w:r>
        <w:rPr>
          <w:spacing w:val="-9"/>
        </w:rPr>
        <w:t>机构</w:t>
      </w:r>
      <w:r>
        <w:rPr>
          <w:rFonts w:hint="eastAsia"/>
          <w:spacing w:val="-9"/>
        </w:rPr>
        <w:t>投资者</w:t>
      </w:r>
      <w:r>
        <w:rPr>
          <w:spacing w:val="-9"/>
        </w:rPr>
        <w:t>经办人持本人有效身份证、公章、法人章</w:t>
      </w:r>
      <w:r>
        <w:rPr>
          <w:rFonts w:hint="eastAsia"/>
          <w:spacing w:val="-9"/>
        </w:rPr>
        <w:t>、财务章</w:t>
      </w:r>
      <w:r>
        <w:rPr>
          <w:spacing w:val="-9"/>
        </w:rPr>
        <w:t>及</w:t>
      </w:r>
      <w:r>
        <w:rPr>
          <w:rFonts w:hint="eastAsia"/>
          <w:spacing w:val="-9"/>
        </w:rPr>
        <w:t>本行</w:t>
      </w:r>
      <w:r>
        <w:rPr>
          <w:spacing w:val="-9"/>
        </w:rPr>
        <w:t>要求的其它资料，按产品协议书内容确认认购。</w:t>
      </w:r>
    </w:p>
    <w:p w:rsidR="00DA583B" w:rsidRDefault="00DA583B" w:rsidP="00DA583B">
      <w:pPr>
        <w:pStyle w:val="ad"/>
        <w:ind w:left="520" w:right="511" w:firstLine="422"/>
      </w:pPr>
      <w:r>
        <w:rPr>
          <w:spacing w:val="-3"/>
        </w:rPr>
        <w:t>4</w:t>
      </w:r>
      <w:r>
        <w:rPr>
          <w:spacing w:val="-16"/>
        </w:rPr>
        <w:t>、签署销售文件。投资</w:t>
      </w:r>
      <w:r>
        <w:rPr>
          <w:rFonts w:hint="eastAsia"/>
          <w:spacing w:val="-16"/>
        </w:rPr>
        <w:t>者</w:t>
      </w:r>
      <w:r>
        <w:rPr>
          <w:spacing w:val="-16"/>
        </w:rPr>
        <w:t>需签署</w:t>
      </w:r>
      <w:r>
        <w:rPr>
          <w:rFonts w:hint="eastAsia"/>
          <w:spacing w:val="-16"/>
        </w:rPr>
        <w:t>《</w:t>
      </w:r>
      <w:r>
        <w:rPr>
          <w:spacing w:val="-16"/>
        </w:rPr>
        <w:t>产品协议书</w:t>
      </w:r>
      <w:r>
        <w:rPr>
          <w:rFonts w:hint="eastAsia"/>
          <w:spacing w:val="-16"/>
        </w:rPr>
        <w:t>》</w:t>
      </w:r>
      <w:r>
        <w:rPr>
          <w:spacing w:val="-16"/>
        </w:rPr>
        <w:t>、</w:t>
      </w:r>
      <w:r>
        <w:rPr>
          <w:rFonts w:hint="eastAsia"/>
          <w:spacing w:val="-16"/>
        </w:rPr>
        <w:t>《产品说明书》、《</w:t>
      </w:r>
      <w:r>
        <w:rPr>
          <w:spacing w:val="-16"/>
        </w:rPr>
        <w:t>风险揭示</w:t>
      </w:r>
      <w:r>
        <w:rPr>
          <w:spacing w:val="-7"/>
        </w:rPr>
        <w:t>书</w:t>
      </w:r>
      <w:r>
        <w:rPr>
          <w:rFonts w:hint="eastAsia"/>
          <w:spacing w:val="-7"/>
        </w:rPr>
        <w:t>》、《投资者权益须知》</w:t>
      </w:r>
      <w:r>
        <w:rPr>
          <w:spacing w:val="-7"/>
        </w:rPr>
        <w:t>销售文件。</w:t>
      </w:r>
    </w:p>
    <w:p w:rsidR="00DA583B" w:rsidRDefault="00DA583B" w:rsidP="00DA583B">
      <w:pPr>
        <w:pStyle w:val="1"/>
      </w:pPr>
      <w:r>
        <w:t>二、投资</w:t>
      </w:r>
      <w:r>
        <w:rPr>
          <w:rFonts w:hint="eastAsia"/>
        </w:rPr>
        <w:t>者</w:t>
      </w:r>
      <w:r>
        <w:t>风险承受能力评估及适合购买的产品</w:t>
      </w:r>
    </w:p>
    <w:p w:rsidR="00DA583B" w:rsidRDefault="00DA583B" w:rsidP="00DA583B">
      <w:pPr>
        <w:pStyle w:val="ad"/>
        <w:ind w:left="520" w:right="513" w:firstLine="422"/>
      </w:pPr>
      <w:r>
        <w:rPr>
          <w:spacing w:val="-3"/>
        </w:rPr>
        <w:t>1</w:t>
      </w:r>
      <w:r>
        <w:rPr>
          <w:spacing w:val="-3"/>
        </w:rPr>
        <w:t>、</w:t>
      </w:r>
      <w:r>
        <w:rPr>
          <w:rFonts w:hint="eastAsia"/>
          <w:spacing w:val="-3"/>
        </w:rPr>
        <w:t>个人</w:t>
      </w:r>
      <w:r>
        <w:rPr>
          <w:spacing w:val="-3"/>
        </w:rPr>
        <w:t>投资</w:t>
      </w:r>
      <w:r>
        <w:rPr>
          <w:rFonts w:hint="eastAsia"/>
          <w:spacing w:val="-3"/>
        </w:rPr>
        <w:t>者</w:t>
      </w:r>
      <w:r>
        <w:rPr>
          <w:spacing w:val="-3"/>
        </w:rPr>
        <w:t>决定购买</w:t>
      </w:r>
      <w:r>
        <w:rPr>
          <w:rFonts w:hint="eastAsia"/>
          <w:spacing w:val="-3"/>
        </w:rPr>
        <w:t>本</w:t>
      </w:r>
      <w:r>
        <w:rPr>
          <w:spacing w:val="-3"/>
        </w:rPr>
        <w:t>行</w:t>
      </w:r>
      <w:r>
        <w:rPr>
          <w:rFonts w:hint="eastAsia"/>
          <w:spacing w:val="-3"/>
        </w:rPr>
        <w:t>结构性存款</w:t>
      </w:r>
      <w:r>
        <w:rPr>
          <w:spacing w:val="-3"/>
        </w:rPr>
        <w:t>产品之前，需要通过</w:t>
      </w:r>
      <w:r>
        <w:rPr>
          <w:rFonts w:hint="eastAsia"/>
          <w:spacing w:val="-3"/>
        </w:rPr>
        <w:t>本</w:t>
      </w:r>
      <w:r>
        <w:rPr>
          <w:spacing w:val="-3"/>
        </w:rPr>
        <w:t>行营业网点</w:t>
      </w:r>
      <w:r>
        <w:rPr>
          <w:spacing w:val="-6"/>
        </w:rPr>
        <w:t>进行风险承受能力评估</w:t>
      </w:r>
      <w:r>
        <w:rPr>
          <w:spacing w:val="-3"/>
        </w:rPr>
        <w:t>（首次风险承受能力评估须到营业网点柜面进行办理</w:t>
      </w:r>
      <w:r>
        <w:rPr>
          <w:spacing w:val="-108"/>
        </w:rPr>
        <w:t>）</w:t>
      </w:r>
      <w:r>
        <w:rPr>
          <w:spacing w:val="-3"/>
        </w:rPr>
        <w:t>，评级结果将作为评价您是否适合购买</w:t>
      </w:r>
      <w:r>
        <w:rPr>
          <w:rFonts w:hint="eastAsia"/>
          <w:spacing w:val="-3"/>
        </w:rPr>
        <w:t>结构性存款</w:t>
      </w:r>
      <w:r>
        <w:rPr>
          <w:spacing w:val="-3"/>
        </w:rPr>
        <w:t>产品的重要因素，您将只能购买风险等级等于或者低于您的风险承受能力评估结果的</w:t>
      </w:r>
      <w:r>
        <w:rPr>
          <w:rFonts w:hint="eastAsia"/>
          <w:spacing w:val="-3"/>
        </w:rPr>
        <w:t>结构性存款</w:t>
      </w:r>
      <w:r>
        <w:rPr>
          <w:spacing w:val="-3"/>
        </w:rPr>
        <w:t>产品。</w:t>
      </w:r>
    </w:p>
    <w:p w:rsidR="00DA583B" w:rsidRDefault="00DA583B" w:rsidP="00DA583B">
      <w:pPr>
        <w:pStyle w:val="ad"/>
        <w:ind w:left="520" w:right="523" w:firstLine="422"/>
      </w:pPr>
      <w:r>
        <w:t>2</w:t>
      </w:r>
      <w:r>
        <w:t>、投资</w:t>
      </w:r>
      <w:r>
        <w:rPr>
          <w:rFonts w:hint="eastAsia"/>
        </w:rPr>
        <w:t>者</w:t>
      </w:r>
      <w:r>
        <w:t>的风险承受能力评估结果有效期一年，超过一年须再次评估，如评估结果超过有效期，将不得购买</w:t>
      </w:r>
      <w:r>
        <w:rPr>
          <w:rFonts w:hint="eastAsia"/>
        </w:rPr>
        <w:t>结构性存款</w:t>
      </w:r>
      <w:r>
        <w:t>产品。</w:t>
      </w:r>
    </w:p>
    <w:p w:rsidR="00DA583B" w:rsidRDefault="00DA583B" w:rsidP="00DA583B">
      <w:pPr>
        <w:pStyle w:val="ad"/>
        <w:ind w:left="520" w:right="523" w:firstLine="422"/>
      </w:pPr>
      <w:r>
        <w:t>3</w:t>
      </w:r>
      <w:r>
        <w:t>、如影响您风险承受能力的因素发生变化，再次购买</w:t>
      </w:r>
      <w:r>
        <w:rPr>
          <w:rFonts w:hint="eastAsia"/>
        </w:rPr>
        <w:t>结构性存款</w:t>
      </w:r>
      <w:r>
        <w:t>产品时应当主动进行风险承受能力评估。请及时完成风险承受能力的</w:t>
      </w:r>
      <w:r>
        <w:t>“</w:t>
      </w:r>
      <w:r>
        <w:t>重新评估</w:t>
      </w:r>
      <w:r>
        <w:t>”</w:t>
      </w:r>
      <w:r>
        <w:t>。</w:t>
      </w:r>
    </w:p>
    <w:p w:rsidR="00DA583B" w:rsidRDefault="00DA583B" w:rsidP="00DA583B">
      <w:pPr>
        <w:pStyle w:val="ad"/>
        <w:ind w:left="520" w:right="304" w:firstLine="422"/>
      </w:pPr>
      <w:r>
        <w:rPr>
          <w:spacing w:val="-3"/>
        </w:rPr>
        <w:t>4</w:t>
      </w:r>
      <w:r>
        <w:rPr>
          <w:spacing w:val="-4"/>
        </w:rPr>
        <w:t>、根据</w:t>
      </w:r>
      <w:r>
        <w:rPr>
          <w:rFonts w:hint="eastAsia"/>
          <w:spacing w:val="-4"/>
        </w:rPr>
        <w:t>结构性存款</w:t>
      </w:r>
      <w:r>
        <w:rPr>
          <w:spacing w:val="-4"/>
        </w:rPr>
        <w:t>产品的风险大小，</w:t>
      </w:r>
      <w:r>
        <w:rPr>
          <w:rFonts w:hint="eastAsia"/>
          <w:spacing w:val="-4"/>
        </w:rPr>
        <w:t>本</w:t>
      </w:r>
      <w:r>
        <w:rPr>
          <w:spacing w:val="-4"/>
        </w:rPr>
        <w:t>行</w:t>
      </w:r>
      <w:r>
        <w:rPr>
          <w:rFonts w:hint="eastAsia"/>
          <w:spacing w:val="-4"/>
        </w:rPr>
        <w:t>结构性存款</w:t>
      </w:r>
      <w:r>
        <w:rPr>
          <w:spacing w:val="-4"/>
        </w:rPr>
        <w:t>产品的风险等级由从低到高分为</w:t>
      </w:r>
      <w:r>
        <w:rPr>
          <w:spacing w:val="-4"/>
        </w:rPr>
        <w:t xml:space="preserve"> </w:t>
      </w:r>
      <w:r>
        <w:t>PR1</w:t>
      </w:r>
      <w:r>
        <w:rPr>
          <w:spacing w:val="-9"/>
        </w:rPr>
        <w:t xml:space="preserve"> </w:t>
      </w:r>
      <w:r>
        <w:rPr>
          <w:spacing w:val="-9"/>
        </w:rPr>
        <w:t>级</w:t>
      </w:r>
      <w:r>
        <w:t>（</w:t>
      </w:r>
      <w:r>
        <w:rPr>
          <w:spacing w:val="-2"/>
        </w:rPr>
        <w:t>低风险</w:t>
      </w:r>
      <w:r>
        <w:rPr>
          <w:spacing w:val="-106"/>
        </w:rPr>
        <w:t>）</w:t>
      </w:r>
      <w:r>
        <w:rPr>
          <w:spacing w:val="-5"/>
        </w:rPr>
        <w:t>、</w:t>
      </w:r>
      <w:r>
        <w:t>PR2</w:t>
      </w:r>
      <w:r>
        <w:rPr>
          <w:spacing w:val="-24"/>
        </w:rPr>
        <w:t xml:space="preserve"> </w:t>
      </w:r>
      <w:r>
        <w:rPr>
          <w:spacing w:val="-24"/>
        </w:rPr>
        <w:t>级</w:t>
      </w:r>
      <w:r>
        <w:t>（</w:t>
      </w:r>
      <w:r>
        <w:rPr>
          <w:spacing w:val="-3"/>
        </w:rPr>
        <w:t>中低风险</w:t>
      </w:r>
      <w:r>
        <w:rPr>
          <w:spacing w:val="-108"/>
        </w:rPr>
        <w:t>）</w:t>
      </w:r>
      <w:r>
        <w:rPr>
          <w:spacing w:val="-7"/>
        </w:rPr>
        <w:t>、</w:t>
      </w:r>
      <w:r>
        <w:t>PR3</w:t>
      </w:r>
      <w:r>
        <w:rPr>
          <w:spacing w:val="-25"/>
        </w:rPr>
        <w:t xml:space="preserve"> </w:t>
      </w:r>
      <w:r>
        <w:rPr>
          <w:spacing w:val="-25"/>
        </w:rPr>
        <w:t>级</w:t>
      </w:r>
      <w:r>
        <w:t>（</w:t>
      </w:r>
      <w:r>
        <w:rPr>
          <w:spacing w:val="-3"/>
        </w:rPr>
        <w:t>中等风险</w:t>
      </w:r>
      <w:r>
        <w:rPr>
          <w:spacing w:val="-106"/>
        </w:rPr>
        <w:t>）</w:t>
      </w:r>
      <w:r>
        <w:rPr>
          <w:spacing w:val="-8"/>
        </w:rPr>
        <w:t>、</w:t>
      </w:r>
      <w:r>
        <w:t>PR4</w:t>
      </w:r>
      <w:r>
        <w:rPr>
          <w:spacing w:val="-24"/>
        </w:rPr>
        <w:t xml:space="preserve"> </w:t>
      </w:r>
      <w:r>
        <w:rPr>
          <w:spacing w:val="-24"/>
        </w:rPr>
        <w:t>级</w:t>
      </w:r>
      <w:r>
        <w:t>（</w:t>
      </w:r>
      <w:r>
        <w:rPr>
          <w:spacing w:val="-3"/>
        </w:rPr>
        <w:t>中高风险</w:t>
      </w:r>
      <w:r>
        <w:rPr>
          <w:spacing w:val="-8"/>
        </w:rPr>
        <w:t>）</w:t>
      </w:r>
      <w:r>
        <w:rPr>
          <w:spacing w:val="-21"/>
        </w:rPr>
        <w:t>和</w:t>
      </w:r>
      <w:r>
        <w:rPr>
          <w:spacing w:val="-21"/>
        </w:rPr>
        <w:t xml:space="preserve"> </w:t>
      </w:r>
      <w:r>
        <w:t>PR5</w:t>
      </w:r>
      <w:r>
        <w:rPr>
          <w:spacing w:val="-24"/>
        </w:rPr>
        <w:t xml:space="preserve"> </w:t>
      </w:r>
      <w:r>
        <w:rPr>
          <w:spacing w:val="-24"/>
        </w:rPr>
        <w:t>级</w:t>
      </w:r>
      <w:r>
        <w:t>（</w:t>
      </w:r>
      <w:r>
        <w:rPr>
          <w:spacing w:val="-2"/>
        </w:rPr>
        <w:t>高风险</w:t>
      </w:r>
      <w:r>
        <w:rPr>
          <w:spacing w:val="-7"/>
        </w:rPr>
        <w:t>）</w:t>
      </w:r>
      <w:r>
        <w:t>五</w:t>
      </w:r>
      <w:r>
        <w:rPr>
          <w:spacing w:val="-3"/>
        </w:rPr>
        <w:t>类；</w:t>
      </w:r>
      <w:r>
        <w:rPr>
          <w:rFonts w:hint="eastAsia"/>
          <w:spacing w:val="-3"/>
        </w:rPr>
        <w:t>本</w:t>
      </w:r>
      <w:r>
        <w:rPr>
          <w:spacing w:val="-3"/>
        </w:rPr>
        <w:t>行对个人</w:t>
      </w:r>
      <w:r>
        <w:rPr>
          <w:rFonts w:hint="eastAsia"/>
          <w:spacing w:val="-3"/>
        </w:rPr>
        <w:t>投资者</w:t>
      </w:r>
      <w:r>
        <w:rPr>
          <w:spacing w:val="-3"/>
        </w:rPr>
        <w:t>风险承受能力由低到高分为保守型、谨慎型、稳健型、进取型和激进</w:t>
      </w:r>
      <w:r>
        <w:rPr>
          <w:rFonts w:hint="eastAsia"/>
          <w:spacing w:val="-3"/>
        </w:rPr>
        <w:t>型</w:t>
      </w:r>
      <w:r>
        <w:rPr>
          <w:spacing w:val="-3"/>
        </w:rPr>
        <w:t>。</w:t>
      </w:r>
      <w:r>
        <w:rPr>
          <w:spacing w:val="-12"/>
        </w:rPr>
        <w:t>根据风险匹配原则，</w:t>
      </w:r>
      <w:r>
        <w:rPr>
          <w:rFonts w:hint="eastAsia"/>
          <w:spacing w:val="-12"/>
        </w:rPr>
        <w:t>本</w:t>
      </w:r>
      <w:r>
        <w:rPr>
          <w:spacing w:val="-12"/>
        </w:rPr>
        <w:t>行在投资</w:t>
      </w:r>
      <w:r>
        <w:rPr>
          <w:rFonts w:hint="eastAsia"/>
          <w:spacing w:val="-12"/>
        </w:rPr>
        <w:t>者</w:t>
      </w:r>
      <w:r>
        <w:rPr>
          <w:spacing w:val="-12"/>
        </w:rPr>
        <w:t>风险承受能力等级和产品风险等级之间建立如下对应关系，</w:t>
      </w:r>
      <w:r>
        <w:rPr>
          <w:spacing w:val="-12"/>
        </w:rPr>
        <w:t xml:space="preserve"> </w:t>
      </w:r>
      <w:r>
        <w:rPr>
          <w:spacing w:val="-6"/>
        </w:rPr>
        <w:t>详见下表：</w:t>
      </w:r>
    </w:p>
    <w:p w:rsidR="00DA583B" w:rsidRDefault="00DA583B" w:rsidP="00DA583B">
      <w:pPr>
        <w:pStyle w:val="ad"/>
        <w:rPr>
          <w:sz w:val="20"/>
        </w:rPr>
      </w:pPr>
      <w:r>
        <w:rPr>
          <w:noProof/>
        </w:rPr>
        <w:pict>
          <v:line id="直接连接符 11" o:spid="_x0000_s1067" style="position:absolute;left:0;text-align:left;z-index:-251656192;visibility:visible;mso-wrap-style:square;mso-wrap-distance-left:9pt;mso-wrap-distance-top:0;mso-wrap-distance-right:9pt;mso-wrap-distance-bottom:0;mso-position-horizontal:absolute;mso-position-horizontal-relative:page;mso-position-vertical:absolute;mso-position-vertical-relative:text" from="81.05pt,9.4pt" to="166.6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">
            <w10:wrap anchorx="page"/>
          </v:line>
        </w:pict>
      </w:r>
      <w:r>
        <w:rPr>
          <w:noProof/>
        </w:rPr>
        <w:pict>
          <v:shapetype id="_x0000_t202" coordsize="21600,21600" o:spt="202" path="m,l,21600r21600,l21600,xe">
            <v:stroke joinstyle="miter"/>
            <v:path gradientshapeok="t" o:connecttype="rect"/>
          </v:shapetype>
          <v:shape id="文本框 10" o:spid="_x0000_s1066" type="#_x0000_t202" style="position:absolute;left:0;text-align:left;margin-left:79.7pt;margin-top:9.15pt;width:455.75pt;height:147.7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" filled="f" stroked="f">
            <v:textbox inset="0,0,0,0">
              <w:txbxContent>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38"/>
                    <w:gridCol w:w="1475"/>
                    <w:gridCol w:w="1472"/>
                    <w:gridCol w:w="1472"/>
                    <w:gridCol w:w="1475"/>
                    <w:gridCol w:w="1472"/>
                  </w:tblGrid>
                  <w:tr w:rsidR="00DA583B">
                    <w:trPr>
                      <w:trHeight w:val="947"/>
                    </w:trPr>
                    <w:tc>
                      <w:tcPr>
                        <w:tcW w:w="1738" w:type="dxa"/>
                      </w:tcPr>
                      <w:p w:rsidR="00DA583B" w:rsidRDefault="00DA583B">
                        <w:pPr>
                          <w:pStyle w:val="TableParagraph"/>
                          <w:spacing w:before="114" w:line="232" w:lineRule="exact"/>
                          <w:ind w:left="609" w:right="0"/>
                          <w:jc w:val="left"/>
                          <w:rPr>
                            <w:rFonts w:ascii="黑体" w:eastAsia="黑体"/>
                            <w:b/>
                          </w:rPr>
                        </w:pPr>
                        <w:r>
                          <w:rPr>
                            <w:rFonts w:ascii="黑体" w:eastAsia="黑体" w:hint="eastAsia"/>
                            <w:b/>
                            <w:w w:val="85"/>
                          </w:rPr>
                          <w:t>产品风险情况</w:t>
                        </w:r>
                      </w:p>
                      <w:p w:rsidR="00DA583B" w:rsidRDefault="00DA583B">
                        <w:pPr>
                          <w:pStyle w:val="TableParagraph"/>
                          <w:spacing w:before="0" w:line="232" w:lineRule="exact"/>
                          <w:ind w:left="74" w:right="0"/>
                          <w:jc w:val="left"/>
                          <w:rPr>
                            <w:rFonts w:ascii="黑体" w:eastAsia="黑体"/>
                            <w:b/>
                          </w:rPr>
                        </w:pPr>
                        <w:r>
                          <w:rPr>
                            <w:rFonts w:ascii="黑体" w:eastAsia="黑体" w:hint="eastAsia"/>
                            <w:b/>
                            <w:w w:val="90"/>
                          </w:rPr>
                          <w:t>投资者</w:t>
                        </w:r>
                      </w:p>
                      <w:p w:rsidR="00DA583B" w:rsidRDefault="00DA583B">
                        <w:pPr>
                          <w:pStyle w:val="TableParagraph"/>
                          <w:spacing w:before="40"/>
                          <w:ind w:left="74" w:right="0"/>
                          <w:jc w:val="left"/>
                          <w:rPr>
                            <w:rFonts w:ascii="黑体" w:eastAsia="黑体"/>
                            <w:b/>
                          </w:rPr>
                        </w:pPr>
                        <w:r>
                          <w:rPr>
                            <w:rFonts w:ascii="黑体" w:eastAsia="黑体" w:hint="eastAsia"/>
                            <w:b/>
                            <w:w w:val="90"/>
                          </w:rPr>
                          <w:t>风险类型</w:t>
                        </w:r>
                      </w:p>
                    </w:tc>
                    <w:tc>
                      <w:tcPr>
                        <w:tcW w:w="1475" w:type="dxa"/>
                      </w:tcPr>
                      <w:p w:rsidR="00DA583B" w:rsidRDefault="00DA583B">
                        <w:pPr>
                          <w:pStyle w:val="TableParagraph"/>
                          <w:spacing w:before="6"/>
                          <w:ind w:left="0" w:right="0"/>
                          <w:jc w:val="left"/>
                          <w:rPr>
                            <w:rFonts w:ascii="宋体"/>
                            <w:b/>
                            <w:sz w:val="14"/>
                          </w:rPr>
                        </w:pPr>
                      </w:p>
                      <w:p w:rsidR="00DA583B" w:rsidRDefault="00DA583B">
                        <w:pPr>
                          <w:pStyle w:val="TableParagraph"/>
                          <w:spacing w:before="0"/>
                          <w:ind w:left="85" w:right="78"/>
                        </w:pPr>
                        <w:r>
                          <w:t>PR1 级</w:t>
                        </w:r>
                      </w:p>
                      <w:p w:rsidR="00DA583B" w:rsidRDefault="00DA583B">
                        <w:pPr>
                          <w:pStyle w:val="TableParagraph"/>
                          <w:spacing w:before="43"/>
                          <w:ind w:left="86" w:right="77"/>
                        </w:pPr>
                        <w:r>
                          <w:t>（低风险）</w:t>
                        </w:r>
                      </w:p>
                    </w:tc>
                    <w:tc>
                      <w:tcPr>
                        <w:tcW w:w="1472" w:type="dxa"/>
                      </w:tcPr>
                      <w:p w:rsidR="00DA583B" w:rsidRDefault="00DA583B">
                        <w:pPr>
                          <w:pStyle w:val="TableParagraph"/>
                          <w:spacing w:before="6"/>
                          <w:ind w:left="0" w:right="0"/>
                          <w:jc w:val="left"/>
                          <w:rPr>
                            <w:rFonts w:ascii="宋体"/>
                            <w:b/>
                            <w:sz w:val="14"/>
                          </w:rPr>
                        </w:pPr>
                      </w:p>
                      <w:p w:rsidR="00DA583B" w:rsidRDefault="00DA583B">
                        <w:pPr>
                          <w:pStyle w:val="TableParagraph"/>
                          <w:spacing w:before="0"/>
                        </w:pPr>
                        <w:r>
                          <w:t>PR2 级</w:t>
                        </w:r>
                      </w:p>
                      <w:p w:rsidR="00DA583B" w:rsidRDefault="00DA583B">
                        <w:pPr>
                          <w:pStyle w:val="TableParagraph"/>
                          <w:spacing w:before="43"/>
                          <w:ind w:left="83"/>
                        </w:pPr>
                        <w:r>
                          <w:t>（中低风险）</w:t>
                        </w:r>
                      </w:p>
                    </w:tc>
                    <w:tc>
                      <w:tcPr>
                        <w:tcW w:w="1472" w:type="dxa"/>
                      </w:tcPr>
                      <w:p w:rsidR="00DA583B" w:rsidRDefault="00DA583B">
                        <w:pPr>
                          <w:pStyle w:val="TableParagraph"/>
                          <w:spacing w:before="6"/>
                          <w:ind w:left="0" w:right="0"/>
                          <w:jc w:val="left"/>
                          <w:rPr>
                            <w:rFonts w:ascii="宋体"/>
                            <w:b/>
                            <w:sz w:val="14"/>
                          </w:rPr>
                        </w:pPr>
                      </w:p>
                      <w:p w:rsidR="00DA583B" w:rsidRDefault="00DA583B">
                        <w:pPr>
                          <w:pStyle w:val="TableParagraph"/>
                          <w:spacing w:before="0"/>
                          <w:ind w:left="82"/>
                        </w:pPr>
                        <w:r>
                          <w:t>PR3 级</w:t>
                        </w:r>
                      </w:p>
                      <w:p w:rsidR="00DA583B" w:rsidRDefault="00DA583B">
                        <w:pPr>
                          <w:pStyle w:val="TableParagraph"/>
                          <w:spacing w:before="43"/>
                          <w:ind w:left="85" w:right="74"/>
                        </w:pPr>
                        <w:r>
                          <w:t>（中等风险）</w:t>
                        </w:r>
                      </w:p>
                    </w:tc>
                    <w:tc>
                      <w:tcPr>
                        <w:tcW w:w="1475" w:type="dxa"/>
                      </w:tcPr>
                      <w:p w:rsidR="00DA583B" w:rsidRDefault="00DA583B">
                        <w:pPr>
                          <w:pStyle w:val="TableParagraph"/>
                          <w:spacing w:before="6"/>
                          <w:ind w:left="0" w:right="0"/>
                          <w:jc w:val="left"/>
                          <w:rPr>
                            <w:rFonts w:ascii="宋体"/>
                            <w:b/>
                            <w:sz w:val="14"/>
                          </w:rPr>
                        </w:pPr>
                      </w:p>
                      <w:p w:rsidR="00DA583B" w:rsidRDefault="00DA583B">
                        <w:pPr>
                          <w:pStyle w:val="TableParagraph"/>
                          <w:spacing w:before="0"/>
                          <w:ind w:left="81" w:right="78"/>
                        </w:pPr>
                        <w:r>
                          <w:t>PR4 级</w:t>
                        </w:r>
                      </w:p>
                      <w:p w:rsidR="00DA583B" w:rsidRDefault="00DA583B">
                        <w:pPr>
                          <w:pStyle w:val="TableParagraph"/>
                          <w:spacing w:before="43"/>
                          <w:ind w:left="86" w:right="78"/>
                        </w:pPr>
                        <w:r>
                          <w:t>（中高风险）</w:t>
                        </w:r>
                      </w:p>
                    </w:tc>
                    <w:tc>
                      <w:tcPr>
                        <w:tcW w:w="1472" w:type="dxa"/>
                      </w:tcPr>
                      <w:p w:rsidR="00DA583B" w:rsidRDefault="00DA583B">
                        <w:pPr>
                          <w:pStyle w:val="TableParagraph"/>
                          <w:spacing w:before="6"/>
                          <w:ind w:left="0" w:right="0"/>
                          <w:jc w:val="left"/>
                          <w:rPr>
                            <w:rFonts w:ascii="宋体"/>
                            <w:b/>
                            <w:sz w:val="14"/>
                          </w:rPr>
                        </w:pPr>
                      </w:p>
                      <w:p w:rsidR="00DA583B" w:rsidRDefault="00DA583B">
                        <w:pPr>
                          <w:pStyle w:val="TableParagraph"/>
                          <w:spacing w:before="0"/>
                          <w:ind w:left="75"/>
                        </w:pPr>
                        <w:r>
                          <w:t>PR5 级</w:t>
                        </w:r>
                      </w:p>
                      <w:p w:rsidR="00DA583B" w:rsidRDefault="00DA583B">
                        <w:pPr>
                          <w:pStyle w:val="TableParagraph"/>
                          <w:spacing w:before="43"/>
                          <w:ind w:left="75"/>
                        </w:pPr>
                        <w:r>
                          <w:t>（高风险）</w:t>
                        </w:r>
                      </w:p>
                    </w:tc>
                  </w:tr>
                  <w:tr w:rsidR="00DA583B">
                    <w:trPr>
                      <w:trHeight w:val="388"/>
                    </w:trPr>
                    <w:tc>
                      <w:tcPr>
                        <w:tcW w:w="1738" w:type="dxa"/>
                      </w:tcPr>
                      <w:p w:rsidR="00DA583B" w:rsidRDefault="00DA583B">
                        <w:pPr>
                          <w:pStyle w:val="TableParagraph"/>
                          <w:ind w:left="551" w:right="0"/>
                          <w:jc w:val="left"/>
                          <w:rPr>
                            <w:b/>
                          </w:rPr>
                        </w:pPr>
                        <w:r>
                          <w:rPr>
                            <w:b/>
                          </w:rPr>
                          <w:t>激进型</w:t>
                        </w:r>
                      </w:p>
                    </w:tc>
                    <w:tc>
                      <w:tcPr>
                        <w:tcW w:w="1475" w:type="dxa"/>
                      </w:tcPr>
                      <w:p w:rsidR="00DA583B" w:rsidRDefault="00DA583B">
                        <w:pPr>
                          <w:pStyle w:val="TableParagraph"/>
                          <w:ind w:left="85" w:right="78"/>
                        </w:pPr>
                        <w:r>
                          <w:t>适合</w:t>
                        </w:r>
                      </w:p>
                    </w:tc>
                    <w:tc>
                      <w:tcPr>
                        <w:tcW w:w="1472" w:type="dxa"/>
                      </w:tcPr>
                      <w:p w:rsidR="00DA583B" w:rsidRDefault="00DA583B">
                        <w:pPr>
                          <w:pStyle w:val="TableParagraph"/>
                        </w:pPr>
                        <w:r>
                          <w:t>适合</w:t>
                        </w:r>
                      </w:p>
                    </w:tc>
                    <w:tc>
                      <w:tcPr>
                        <w:tcW w:w="1472" w:type="dxa"/>
                      </w:tcPr>
                      <w:p w:rsidR="00DA583B" w:rsidRDefault="00DA583B">
                        <w:pPr>
                          <w:pStyle w:val="TableParagraph"/>
                          <w:ind w:left="82"/>
                        </w:pPr>
                        <w:r>
                          <w:t>适合</w:t>
                        </w:r>
                      </w:p>
                    </w:tc>
                    <w:tc>
                      <w:tcPr>
                        <w:tcW w:w="1475" w:type="dxa"/>
                      </w:tcPr>
                      <w:p w:rsidR="00DA583B" w:rsidRDefault="00DA583B">
                        <w:pPr>
                          <w:pStyle w:val="TableParagraph"/>
                          <w:ind w:left="81" w:right="78"/>
                        </w:pPr>
                        <w:r>
                          <w:t>适合</w:t>
                        </w:r>
                      </w:p>
                    </w:tc>
                    <w:tc>
                      <w:tcPr>
                        <w:tcW w:w="1472" w:type="dxa"/>
                      </w:tcPr>
                      <w:p w:rsidR="00DA583B" w:rsidRDefault="00DA583B">
                        <w:pPr>
                          <w:pStyle w:val="TableParagraph"/>
                          <w:ind w:left="75"/>
                        </w:pPr>
                        <w:r>
                          <w:t>适合</w:t>
                        </w:r>
                      </w:p>
                    </w:tc>
                  </w:tr>
                  <w:tr w:rsidR="00DA583B">
                    <w:trPr>
                      <w:trHeight w:val="385"/>
                    </w:trPr>
                    <w:tc>
                      <w:tcPr>
                        <w:tcW w:w="1738" w:type="dxa"/>
                      </w:tcPr>
                      <w:p w:rsidR="00DA583B" w:rsidRDefault="00DA583B">
                        <w:pPr>
                          <w:pStyle w:val="TableParagraph"/>
                          <w:spacing w:before="58"/>
                          <w:ind w:left="551" w:right="0"/>
                          <w:jc w:val="left"/>
                          <w:rPr>
                            <w:b/>
                          </w:rPr>
                        </w:pPr>
                        <w:r>
                          <w:rPr>
                            <w:b/>
                          </w:rPr>
                          <w:t>进取型</w:t>
                        </w:r>
                      </w:p>
                    </w:tc>
                    <w:tc>
                      <w:tcPr>
                        <w:tcW w:w="1475" w:type="dxa"/>
                      </w:tcPr>
                      <w:p w:rsidR="00DA583B" w:rsidRDefault="00DA583B">
                        <w:pPr>
                          <w:pStyle w:val="TableParagraph"/>
                          <w:spacing w:before="58"/>
                          <w:ind w:left="85" w:right="78"/>
                        </w:pPr>
                        <w:r>
                          <w:t>适合</w:t>
                        </w:r>
                      </w:p>
                    </w:tc>
                    <w:tc>
                      <w:tcPr>
                        <w:tcW w:w="1472" w:type="dxa"/>
                      </w:tcPr>
                      <w:p w:rsidR="00DA583B" w:rsidRDefault="00DA583B">
                        <w:pPr>
                          <w:pStyle w:val="TableParagraph"/>
                          <w:spacing w:before="58"/>
                        </w:pPr>
                        <w:r>
                          <w:t>适合</w:t>
                        </w:r>
                      </w:p>
                    </w:tc>
                    <w:tc>
                      <w:tcPr>
                        <w:tcW w:w="1472" w:type="dxa"/>
                      </w:tcPr>
                      <w:p w:rsidR="00DA583B" w:rsidRDefault="00DA583B">
                        <w:pPr>
                          <w:pStyle w:val="TableParagraph"/>
                          <w:spacing w:before="58"/>
                          <w:ind w:left="82"/>
                        </w:pPr>
                        <w:r>
                          <w:t>适合</w:t>
                        </w:r>
                      </w:p>
                    </w:tc>
                    <w:tc>
                      <w:tcPr>
                        <w:tcW w:w="1475" w:type="dxa"/>
                      </w:tcPr>
                      <w:p w:rsidR="00DA583B" w:rsidRDefault="00DA583B">
                        <w:pPr>
                          <w:pStyle w:val="TableParagraph"/>
                          <w:spacing w:before="58"/>
                          <w:ind w:left="81" w:right="78"/>
                        </w:pPr>
                        <w:r>
                          <w:t>适合</w:t>
                        </w:r>
                      </w:p>
                    </w:tc>
                    <w:tc>
                      <w:tcPr>
                        <w:tcW w:w="1472" w:type="dxa"/>
                        <w:shd w:val="clear" w:color="auto" w:fill="BEBEBE"/>
                      </w:tcPr>
                      <w:p w:rsidR="00DA583B" w:rsidRDefault="00DA583B">
                        <w:pPr>
                          <w:pStyle w:val="TableParagraph"/>
                          <w:spacing w:before="58"/>
                          <w:ind w:left="73"/>
                          <w:rPr>
                            <w:b/>
                          </w:rPr>
                        </w:pPr>
                        <w:r>
                          <w:rPr>
                            <w:b/>
                          </w:rPr>
                          <w:t>不适合</w:t>
                        </w:r>
                      </w:p>
                    </w:tc>
                  </w:tr>
                  <w:tr w:rsidR="00DA583B">
                    <w:trPr>
                      <w:trHeight w:val="388"/>
                    </w:trPr>
                    <w:tc>
                      <w:tcPr>
                        <w:tcW w:w="1738" w:type="dxa"/>
                      </w:tcPr>
                      <w:p w:rsidR="00DA583B" w:rsidRDefault="00DA583B">
                        <w:pPr>
                          <w:pStyle w:val="TableParagraph"/>
                          <w:ind w:left="551" w:right="0"/>
                          <w:jc w:val="left"/>
                          <w:rPr>
                            <w:b/>
                          </w:rPr>
                        </w:pPr>
                        <w:r>
                          <w:rPr>
                            <w:b/>
                          </w:rPr>
                          <w:t>稳健型</w:t>
                        </w:r>
                      </w:p>
                    </w:tc>
                    <w:tc>
                      <w:tcPr>
                        <w:tcW w:w="1475" w:type="dxa"/>
                      </w:tcPr>
                      <w:p w:rsidR="00DA583B" w:rsidRDefault="00DA583B">
                        <w:pPr>
                          <w:pStyle w:val="TableParagraph"/>
                          <w:ind w:left="85" w:right="78"/>
                        </w:pPr>
                        <w:r>
                          <w:t>适合</w:t>
                        </w:r>
                      </w:p>
                    </w:tc>
                    <w:tc>
                      <w:tcPr>
                        <w:tcW w:w="1472" w:type="dxa"/>
                      </w:tcPr>
                      <w:p w:rsidR="00DA583B" w:rsidRDefault="00DA583B">
                        <w:pPr>
                          <w:pStyle w:val="TableParagraph"/>
                        </w:pPr>
                        <w:r>
                          <w:t>适合</w:t>
                        </w:r>
                      </w:p>
                    </w:tc>
                    <w:tc>
                      <w:tcPr>
                        <w:tcW w:w="1472" w:type="dxa"/>
                      </w:tcPr>
                      <w:p w:rsidR="00DA583B" w:rsidRDefault="00DA583B">
                        <w:pPr>
                          <w:pStyle w:val="TableParagraph"/>
                          <w:ind w:left="82"/>
                        </w:pPr>
                        <w:r>
                          <w:t>适合</w:t>
                        </w:r>
                      </w:p>
                    </w:tc>
                    <w:tc>
                      <w:tcPr>
                        <w:tcW w:w="1475" w:type="dxa"/>
                        <w:shd w:val="clear" w:color="auto" w:fill="BEBEBE"/>
                      </w:tcPr>
                      <w:p w:rsidR="00DA583B" w:rsidRDefault="00DA583B">
                        <w:pPr>
                          <w:pStyle w:val="TableParagraph"/>
                          <w:ind w:left="77" w:right="78"/>
                          <w:rPr>
                            <w:b/>
                          </w:rPr>
                        </w:pPr>
                        <w:r>
                          <w:rPr>
                            <w:b/>
                          </w:rPr>
                          <w:t>不适合</w:t>
                        </w:r>
                      </w:p>
                    </w:tc>
                    <w:tc>
                      <w:tcPr>
                        <w:tcW w:w="1472" w:type="dxa"/>
                        <w:shd w:val="clear" w:color="auto" w:fill="BEBEBE"/>
                      </w:tcPr>
                      <w:p w:rsidR="00DA583B" w:rsidRDefault="00DA583B">
                        <w:pPr>
                          <w:pStyle w:val="TableParagraph"/>
                          <w:ind w:left="73"/>
                          <w:rPr>
                            <w:b/>
                          </w:rPr>
                        </w:pPr>
                        <w:r>
                          <w:rPr>
                            <w:b/>
                          </w:rPr>
                          <w:t>不适合</w:t>
                        </w:r>
                      </w:p>
                    </w:tc>
                  </w:tr>
                  <w:tr w:rsidR="00DA583B">
                    <w:trPr>
                      <w:trHeight w:val="385"/>
                    </w:trPr>
                    <w:tc>
                      <w:tcPr>
                        <w:tcW w:w="1738" w:type="dxa"/>
                      </w:tcPr>
                      <w:p w:rsidR="00DA583B" w:rsidRDefault="00DA583B">
                        <w:pPr>
                          <w:pStyle w:val="TableParagraph"/>
                          <w:spacing w:before="58"/>
                          <w:ind w:left="551" w:right="0"/>
                          <w:jc w:val="left"/>
                          <w:rPr>
                            <w:b/>
                          </w:rPr>
                        </w:pPr>
                        <w:r>
                          <w:rPr>
                            <w:b/>
                          </w:rPr>
                          <w:t>谨慎型</w:t>
                        </w:r>
                      </w:p>
                    </w:tc>
                    <w:tc>
                      <w:tcPr>
                        <w:tcW w:w="1475" w:type="dxa"/>
                      </w:tcPr>
                      <w:p w:rsidR="00DA583B" w:rsidRDefault="00DA583B">
                        <w:pPr>
                          <w:pStyle w:val="TableParagraph"/>
                          <w:spacing w:before="58"/>
                          <w:ind w:left="85" w:right="78"/>
                        </w:pPr>
                        <w:r>
                          <w:t>适合</w:t>
                        </w:r>
                      </w:p>
                    </w:tc>
                    <w:tc>
                      <w:tcPr>
                        <w:tcW w:w="1472" w:type="dxa"/>
                      </w:tcPr>
                      <w:p w:rsidR="00DA583B" w:rsidRDefault="00DA583B">
                        <w:pPr>
                          <w:pStyle w:val="TableParagraph"/>
                          <w:spacing w:before="58"/>
                        </w:pPr>
                        <w:r>
                          <w:t>适合</w:t>
                        </w:r>
                      </w:p>
                    </w:tc>
                    <w:tc>
                      <w:tcPr>
                        <w:tcW w:w="1472" w:type="dxa"/>
                        <w:shd w:val="clear" w:color="auto" w:fill="BEBEBE"/>
                      </w:tcPr>
                      <w:p w:rsidR="00DA583B" w:rsidRDefault="00DA583B">
                        <w:pPr>
                          <w:pStyle w:val="TableParagraph"/>
                          <w:spacing w:before="58"/>
                          <w:rPr>
                            <w:b/>
                          </w:rPr>
                        </w:pPr>
                        <w:r>
                          <w:rPr>
                            <w:b/>
                          </w:rPr>
                          <w:t>不适合</w:t>
                        </w:r>
                      </w:p>
                    </w:tc>
                    <w:tc>
                      <w:tcPr>
                        <w:tcW w:w="1475" w:type="dxa"/>
                        <w:shd w:val="clear" w:color="auto" w:fill="BEBEBE"/>
                      </w:tcPr>
                      <w:p w:rsidR="00DA583B" w:rsidRDefault="00DA583B">
                        <w:pPr>
                          <w:pStyle w:val="TableParagraph"/>
                          <w:spacing w:before="58"/>
                          <w:ind w:left="77" w:right="78"/>
                          <w:rPr>
                            <w:b/>
                          </w:rPr>
                        </w:pPr>
                        <w:r>
                          <w:rPr>
                            <w:b/>
                          </w:rPr>
                          <w:t>不适合</w:t>
                        </w:r>
                      </w:p>
                    </w:tc>
                    <w:tc>
                      <w:tcPr>
                        <w:tcW w:w="1472" w:type="dxa"/>
                        <w:shd w:val="clear" w:color="auto" w:fill="BEBEBE"/>
                      </w:tcPr>
                      <w:p w:rsidR="00DA583B" w:rsidRDefault="00DA583B">
                        <w:pPr>
                          <w:pStyle w:val="TableParagraph"/>
                          <w:spacing w:before="58"/>
                          <w:ind w:left="73"/>
                          <w:rPr>
                            <w:b/>
                          </w:rPr>
                        </w:pPr>
                        <w:r>
                          <w:rPr>
                            <w:b/>
                          </w:rPr>
                          <w:t>不适合</w:t>
                        </w:r>
                      </w:p>
                    </w:tc>
                  </w:tr>
                  <w:tr w:rsidR="00DA583B">
                    <w:trPr>
                      <w:trHeight w:val="388"/>
                    </w:trPr>
                    <w:tc>
                      <w:tcPr>
                        <w:tcW w:w="1738" w:type="dxa"/>
                      </w:tcPr>
                      <w:p w:rsidR="00DA583B" w:rsidRDefault="00DA583B">
                        <w:pPr>
                          <w:pStyle w:val="TableParagraph"/>
                          <w:ind w:left="551" w:right="0"/>
                          <w:jc w:val="left"/>
                          <w:rPr>
                            <w:b/>
                          </w:rPr>
                        </w:pPr>
                        <w:r>
                          <w:rPr>
                            <w:b/>
                          </w:rPr>
                          <w:t>保守型</w:t>
                        </w:r>
                      </w:p>
                    </w:tc>
                    <w:tc>
                      <w:tcPr>
                        <w:tcW w:w="1475" w:type="dxa"/>
                      </w:tcPr>
                      <w:p w:rsidR="00DA583B" w:rsidRDefault="00DA583B">
                        <w:pPr>
                          <w:pStyle w:val="TableParagraph"/>
                          <w:ind w:left="85" w:right="78"/>
                        </w:pPr>
                        <w:r>
                          <w:t>适合</w:t>
                        </w:r>
                      </w:p>
                    </w:tc>
                    <w:tc>
                      <w:tcPr>
                        <w:tcW w:w="1472" w:type="dxa"/>
                        <w:shd w:val="clear" w:color="auto" w:fill="CCCCCC"/>
                      </w:tcPr>
                      <w:p w:rsidR="00DA583B" w:rsidRDefault="00DA583B">
                        <w:pPr>
                          <w:pStyle w:val="TableParagraph"/>
                          <w:ind w:left="75"/>
                          <w:rPr>
                            <w:b/>
                          </w:rPr>
                        </w:pPr>
                        <w:r>
                          <w:rPr>
                            <w:b/>
                          </w:rPr>
                          <w:t>不适合</w:t>
                        </w:r>
                      </w:p>
                    </w:tc>
                    <w:tc>
                      <w:tcPr>
                        <w:tcW w:w="1472" w:type="dxa"/>
                        <w:shd w:val="clear" w:color="auto" w:fill="CCCCCC"/>
                      </w:tcPr>
                      <w:p w:rsidR="00DA583B" w:rsidRDefault="00DA583B">
                        <w:pPr>
                          <w:pStyle w:val="TableParagraph"/>
                          <w:rPr>
                            <w:b/>
                          </w:rPr>
                        </w:pPr>
                        <w:r>
                          <w:rPr>
                            <w:b/>
                          </w:rPr>
                          <w:t>不适合</w:t>
                        </w:r>
                      </w:p>
                    </w:tc>
                    <w:tc>
                      <w:tcPr>
                        <w:tcW w:w="1475" w:type="dxa"/>
                        <w:shd w:val="clear" w:color="auto" w:fill="CCCCCC"/>
                      </w:tcPr>
                      <w:p w:rsidR="00DA583B" w:rsidRDefault="00DA583B">
                        <w:pPr>
                          <w:pStyle w:val="TableParagraph"/>
                          <w:ind w:left="77" w:right="78"/>
                          <w:rPr>
                            <w:b/>
                          </w:rPr>
                        </w:pPr>
                        <w:r>
                          <w:rPr>
                            <w:b/>
                          </w:rPr>
                          <w:t>不适合</w:t>
                        </w:r>
                      </w:p>
                    </w:tc>
                    <w:tc>
                      <w:tcPr>
                        <w:tcW w:w="1472" w:type="dxa"/>
                        <w:shd w:val="clear" w:color="auto" w:fill="CCCCCC"/>
                      </w:tcPr>
                      <w:p w:rsidR="00DA583B" w:rsidRDefault="00DA583B">
                        <w:pPr>
                          <w:pStyle w:val="TableParagraph"/>
                          <w:ind w:left="73"/>
                          <w:rPr>
                            <w:b/>
                          </w:rPr>
                        </w:pPr>
                        <w:r>
                          <w:rPr>
                            <w:b/>
                          </w:rPr>
                          <w:t>不适合</w:t>
                        </w:r>
                      </w:p>
                    </w:tc>
                  </w:tr>
                </w:tbl>
                <w:p w:rsidR="00DA583B" w:rsidRDefault="00DA583B" w:rsidP="00DA583B">
                  <w:pPr>
                    <w:pStyle w:val="ad"/>
                  </w:pPr>
                </w:p>
              </w:txbxContent>
            </v:textbox>
            <w10:wrap anchorx="page"/>
          </v:shape>
        </w:pict>
      </w:r>
    </w:p>
    <w:p w:rsidR="00DA583B" w:rsidRDefault="00DA583B" w:rsidP="00DA583B">
      <w:pPr>
        <w:pStyle w:val="ad"/>
        <w:rPr>
          <w:sz w:val="20"/>
        </w:rPr>
      </w:pPr>
    </w:p>
    <w:p w:rsidR="00DA583B" w:rsidRDefault="00DA583B" w:rsidP="00DA583B">
      <w:pPr>
        <w:pStyle w:val="ad"/>
        <w:rPr>
          <w:sz w:val="20"/>
        </w:rPr>
      </w:pPr>
    </w:p>
    <w:p w:rsidR="00DA583B" w:rsidRDefault="00DA583B" w:rsidP="00DA583B">
      <w:pPr>
        <w:pStyle w:val="ad"/>
        <w:rPr>
          <w:sz w:val="20"/>
        </w:rPr>
      </w:pPr>
    </w:p>
    <w:p w:rsidR="00DA583B" w:rsidRDefault="00DA583B" w:rsidP="00DA583B">
      <w:pPr>
        <w:pStyle w:val="ad"/>
        <w:rPr>
          <w:sz w:val="20"/>
        </w:rPr>
      </w:pPr>
    </w:p>
    <w:p w:rsidR="00DA583B" w:rsidRDefault="00DA583B" w:rsidP="00DA583B">
      <w:pPr>
        <w:pStyle w:val="ad"/>
        <w:rPr>
          <w:sz w:val="20"/>
        </w:rPr>
      </w:pPr>
    </w:p>
    <w:p w:rsidR="00DA583B" w:rsidRDefault="00DA583B" w:rsidP="00DA583B">
      <w:pPr>
        <w:pStyle w:val="ad"/>
        <w:rPr>
          <w:sz w:val="20"/>
        </w:rPr>
      </w:pPr>
    </w:p>
    <w:p w:rsidR="00DA583B" w:rsidRDefault="00DA583B" w:rsidP="00DA583B">
      <w:pPr>
        <w:pStyle w:val="ad"/>
        <w:rPr>
          <w:sz w:val="20"/>
        </w:rPr>
      </w:pPr>
    </w:p>
    <w:p w:rsidR="00DA583B" w:rsidRDefault="00DA583B" w:rsidP="00DA583B">
      <w:pPr>
        <w:pStyle w:val="ad"/>
        <w:rPr>
          <w:sz w:val="20"/>
        </w:rPr>
      </w:pPr>
    </w:p>
    <w:p w:rsidR="00DA583B" w:rsidRDefault="00DA583B" w:rsidP="00DA583B">
      <w:pPr>
        <w:pStyle w:val="ad"/>
        <w:rPr>
          <w:sz w:val="20"/>
        </w:rPr>
      </w:pPr>
    </w:p>
    <w:p w:rsidR="00DA583B" w:rsidRDefault="00DA583B" w:rsidP="00DA583B">
      <w:pPr>
        <w:pStyle w:val="ad"/>
        <w:rPr>
          <w:sz w:val="20"/>
        </w:rPr>
      </w:pPr>
    </w:p>
    <w:p w:rsidR="00DA583B" w:rsidRDefault="00DA583B" w:rsidP="00DA583B">
      <w:pPr>
        <w:pStyle w:val="1"/>
        <w:spacing w:before="134"/>
      </w:pPr>
    </w:p>
    <w:p w:rsidR="00DA583B" w:rsidRDefault="00DA583B" w:rsidP="00DA583B">
      <w:pPr>
        <w:pStyle w:val="1"/>
        <w:spacing w:before="134"/>
      </w:pPr>
    </w:p>
    <w:p w:rsidR="00DA583B" w:rsidRDefault="00DA583B" w:rsidP="00DA583B">
      <w:pPr>
        <w:pStyle w:val="1"/>
        <w:spacing w:before="134"/>
      </w:pPr>
      <w:r>
        <w:t>三、信息披露</w:t>
      </w:r>
    </w:p>
    <w:p w:rsidR="00DA583B" w:rsidRDefault="00DA583B" w:rsidP="00DA583B">
      <w:pPr>
        <w:sectPr w:rsidR="00DA583B">
          <w:pgSz w:w="11910" w:h="16840"/>
          <w:pgMar w:top="1380" w:right="1280" w:bottom="280" w:left="1280" w:header="720" w:footer="720" w:gutter="0"/>
          <w:cols w:space="720"/>
        </w:sectPr>
      </w:pPr>
    </w:p>
    <w:p w:rsidR="00DA583B" w:rsidRDefault="00DA583B" w:rsidP="00DA583B">
      <w:pPr>
        <w:pStyle w:val="ad"/>
        <w:spacing w:before="43" w:line="302" w:lineRule="auto"/>
        <w:ind w:right="513" w:firstLineChars="200" w:firstLine="404"/>
      </w:pPr>
      <w:r>
        <w:rPr>
          <w:rFonts w:hint="eastAsia"/>
          <w:spacing w:val="-4"/>
        </w:rPr>
        <w:lastRenderedPageBreak/>
        <w:t>本</w:t>
      </w:r>
      <w:r>
        <w:rPr>
          <w:spacing w:val="-4"/>
        </w:rPr>
        <w:t>行</w:t>
      </w:r>
      <w:r>
        <w:rPr>
          <w:rFonts w:hint="eastAsia"/>
          <w:spacing w:val="-4"/>
        </w:rPr>
        <w:t>结构性存款</w:t>
      </w:r>
      <w:r>
        <w:rPr>
          <w:spacing w:val="-4"/>
        </w:rPr>
        <w:t>产品的信息披露将通过</w:t>
      </w:r>
      <w:r>
        <w:rPr>
          <w:rFonts w:hint="eastAsia"/>
          <w:spacing w:val="-4"/>
        </w:rPr>
        <w:t>本</w:t>
      </w:r>
      <w:r>
        <w:rPr>
          <w:spacing w:val="-4"/>
        </w:rPr>
        <w:t>行</w:t>
      </w:r>
      <w:r>
        <w:rPr>
          <w:rFonts w:hint="eastAsia"/>
          <w:spacing w:val="-4"/>
        </w:rPr>
        <w:t>官方网站</w:t>
      </w:r>
      <w:hyperlink r:id="rId8">
        <w:r>
          <w:rPr>
            <w:spacing w:val="-3"/>
          </w:rPr>
          <w:t>（</w:t>
        </w:r>
        <w:r>
          <w:rPr>
            <w:spacing w:val="-3"/>
          </w:rPr>
          <w:t>www.urcb.com</w:t>
        </w:r>
      </w:hyperlink>
      <w:r>
        <w:rPr>
          <w:spacing w:val="-3"/>
        </w:rPr>
        <w:t>）</w:t>
      </w:r>
      <w:r>
        <w:rPr>
          <w:spacing w:val="-8"/>
        </w:rPr>
        <w:t>进行，具体方式、渠</w:t>
      </w:r>
      <w:r>
        <w:rPr>
          <w:spacing w:val="-5"/>
        </w:rPr>
        <w:t>道等以产品说明书中</w:t>
      </w:r>
      <w:r>
        <w:rPr>
          <w:spacing w:val="-5"/>
        </w:rPr>
        <w:t>“</w:t>
      </w:r>
      <w:r>
        <w:rPr>
          <w:spacing w:val="-5"/>
        </w:rPr>
        <w:t>信息披露</w:t>
      </w:r>
      <w:r>
        <w:rPr>
          <w:spacing w:val="-5"/>
        </w:rPr>
        <w:t>”</w:t>
      </w:r>
      <w:r>
        <w:rPr>
          <w:spacing w:val="-5"/>
        </w:rPr>
        <w:t>内容为准，相关信息在发布或发出之日视为通知</w:t>
      </w:r>
      <w:r>
        <w:rPr>
          <w:spacing w:val="-11"/>
        </w:rPr>
        <w:t>送达，您应及时查看，以免因未及时获知信息而错过资金使用和再投资机会。投资</w:t>
      </w:r>
      <w:r>
        <w:rPr>
          <w:rFonts w:hint="eastAsia"/>
          <w:spacing w:val="-11"/>
        </w:rPr>
        <w:t>者</w:t>
      </w:r>
      <w:r>
        <w:rPr>
          <w:spacing w:val="-11"/>
        </w:rPr>
        <w:t>如因未及时了解</w:t>
      </w:r>
      <w:r>
        <w:rPr>
          <w:rFonts w:hint="eastAsia"/>
          <w:spacing w:val="-11"/>
        </w:rPr>
        <w:t>本行</w:t>
      </w:r>
      <w:r>
        <w:rPr>
          <w:spacing w:val="-11"/>
        </w:rPr>
        <w:t>公布、发送的相关信息，导致投资受损，后果由投资</w:t>
      </w:r>
      <w:r>
        <w:rPr>
          <w:rFonts w:hint="eastAsia"/>
          <w:spacing w:val="-11"/>
        </w:rPr>
        <w:t>者</w:t>
      </w:r>
      <w:r>
        <w:rPr>
          <w:spacing w:val="-11"/>
        </w:rPr>
        <w:t>自行承担。投资</w:t>
      </w:r>
      <w:r>
        <w:rPr>
          <w:rFonts w:hint="eastAsia"/>
          <w:spacing w:val="-11"/>
        </w:rPr>
        <w:t>者</w:t>
      </w:r>
      <w:r>
        <w:rPr>
          <w:spacing w:val="-11"/>
        </w:rPr>
        <w:t>预留在</w:t>
      </w:r>
      <w:r>
        <w:rPr>
          <w:rFonts w:hint="eastAsia"/>
          <w:spacing w:val="-11"/>
        </w:rPr>
        <w:t>本</w:t>
      </w:r>
      <w:r>
        <w:rPr>
          <w:spacing w:val="-11"/>
        </w:rPr>
        <w:t>行的有效联系方式变更的，应及时告知，如投资</w:t>
      </w:r>
      <w:r>
        <w:rPr>
          <w:rFonts w:hint="eastAsia"/>
          <w:spacing w:val="-11"/>
        </w:rPr>
        <w:t>者</w:t>
      </w:r>
      <w:r>
        <w:rPr>
          <w:spacing w:val="-11"/>
        </w:rPr>
        <w:t>未及时告知银行联系方式变</w:t>
      </w:r>
      <w:r>
        <w:rPr>
          <w:spacing w:val="-12"/>
        </w:rPr>
        <w:t>更的，</w:t>
      </w:r>
      <w:r>
        <w:rPr>
          <w:rFonts w:hint="eastAsia"/>
          <w:spacing w:val="-12"/>
        </w:rPr>
        <w:t>本</w:t>
      </w:r>
      <w:r>
        <w:rPr>
          <w:spacing w:val="-12"/>
        </w:rPr>
        <w:t>行可能因此无法联系到投资</w:t>
      </w:r>
      <w:r>
        <w:rPr>
          <w:rFonts w:hint="eastAsia"/>
          <w:spacing w:val="-12"/>
        </w:rPr>
        <w:t>者</w:t>
      </w:r>
      <w:r>
        <w:rPr>
          <w:spacing w:val="-12"/>
        </w:rPr>
        <w:t>而影响投资</w:t>
      </w:r>
      <w:r>
        <w:rPr>
          <w:rFonts w:hint="eastAsia"/>
          <w:spacing w:val="-12"/>
        </w:rPr>
        <w:t>者</w:t>
      </w:r>
      <w:r>
        <w:rPr>
          <w:spacing w:val="-12"/>
        </w:rPr>
        <w:t>的决策或者</w:t>
      </w:r>
      <w:r>
        <w:rPr>
          <w:rFonts w:hint="eastAsia"/>
          <w:spacing w:val="-12"/>
        </w:rPr>
        <w:t>结构性存款</w:t>
      </w:r>
      <w:r>
        <w:rPr>
          <w:spacing w:val="-12"/>
        </w:rPr>
        <w:t>资金兑付等，由此产生</w:t>
      </w:r>
      <w:r>
        <w:rPr>
          <w:spacing w:val="-6"/>
        </w:rPr>
        <w:t>的责任和风险由投资</w:t>
      </w:r>
      <w:r>
        <w:rPr>
          <w:rFonts w:hint="eastAsia"/>
          <w:spacing w:val="-6"/>
        </w:rPr>
        <w:t>者</w:t>
      </w:r>
      <w:r>
        <w:rPr>
          <w:spacing w:val="-6"/>
        </w:rPr>
        <w:t>自行承担。</w:t>
      </w:r>
    </w:p>
    <w:p w:rsidR="00DA583B" w:rsidRDefault="00DA583B" w:rsidP="00DA583B">
      <w:pPr>
        <w:pStyle w:val="1"/>
        <w:spacing w:before="8"/>
        <w:ind w:left="0" w:firstLineChars="200" w:firstLine="422"/>
      </w:pPr>
      <w:r>
        <w:t>四、投诉及业务咨询</w:t>
      </w:r>
    </w:p>
    <w:p w:rsidR="00DA583B" w:rsidRDefault="00DA583B" w:rsidP="00DA583B">
      <w:pPr>
        <w:pStyle w:val="ad"/>
        <w:spacing w:before="69" w:line="304" w:lineRule="auto"/>
        <w:ind w:right="835" w:firstLineChars="200" w:firstLine="420"/>
      </w:pPr>
      <w:r>
        <w:t>您对</w:t>
      </w:r>
      <w:r>
        <w:rPr>
          <w:rFonts w:hint="eastAsia"/>
        </w:rPr>
        <w:t>本</w:t>
      </w:r>
      <w:r>
        <w:t>行</w:t>
      </w:r>
      <w:r>
        <w:rPr>
          <w:rFonts w:hint="eastAsia"/>
        </w:rPr>
        <w:t>结构性存款</w:t>
      </w:r>
      <w:r>
        <w:t>产品有任何意见或</w:t>
      </w:r>
      <w:r>
        <w:rPr>
          <w:rFonts w:hint="eastAsia"/>
        </w:rPr>
        <w:t>建议</w:t>
      </w:r>
      <w:r>
        <w:t>，请联系</w:t>
      </w:r>
      <w:r>
        <w:rPr>
          <w:rFonts w:hint="eastAsia"/>
        </w:rPr>
        <w:t>本</w:t>
      </w:r>
      <w:r>
        <w:t>行各营业网点或致电客户服务热线</w:t>
      </w:r>
      <w:r>
        <w:t>96596</w:t>
      </w:r>
      <w:r>
        <w:t>。</w:t>
      </w:r>
    </w:p>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 w:rsidR="00DA583B" w:rsidRDefault="00DA583B" w:rsidP="00DA583B">
      <w:pPr>
        <w:spacing w:line="366" w:lineRule="exact"/>
        <w:jc w:val="center"/>
        <w:rPr>
          <w:rFonts w:ascii="Helvetica" w:hAnsi="Helvetica" w:cs="Helvetica"/>
          <w:b/>
          <w:color w:val="000000"/>
          <w:sz w:val="32"/>
          <w:szCs w:val="32"/>
        </w:rPr>
      </w:pPr>
      <w:r>
        <w:rPr>
          <w:rFonts w:ascii="Helvetica" w:hAnsi="Helvetica" w:cs="Helvetica"/>
          <w:b/>
          <w:color w:val="000000"/>
          <w:sz w:val="32"/>
          <w:szCs w:val="32"/>
        </w:rPr>
        <w:lastRenderedPageBreak/>
        <w:t>杭州联合银行</w:t>
      </w:r>
    </w:p>
    <w:p w:rsidR="00DA583B" w:rsidRDefault="00DA583B" w:rsidP="00DA583B">
      <w:pPr>
        <w:spacing w:line="366" w:lineRule="exact"/>
        <w:jc w:val="center"/>
        <w:rPr>
          <w:rFonts w:eastAsia="Times New Roman"/>
          <w:b/>
          <w:sz w:val="24"/>
        </w:rPr>
      </w:pPr>
      <w:r>
        <w:rPr>
          <w:rFonts w:ascii="Helvetica" w:hAnsi="Helvetica" w:cs="Helvetica" w:hint="eastAsia"/>
          <w:b/>
          <w:color w:val="000000"/>
          <w:sz w:val="32"/>
          <w:szCs w:val="32"/>
        </w:rPr>
        <w:t>结构性</w:t>
      </w:r>
      <w:r>
        <w:rPr>
          <w:rFonts w:ascii="Helvetica" w:hAnsi="Helvetica" w:cs="Helvetica"/>
          <w:b/>
          <w:color w:val="000000"/>
          <w:sz w:val="32"/>
          <w:szCs w:val="32"/>
        </w:rPr>
        <w:t>存款</w:t>
      </w:r>
      <w:r>
        <w:rPr>
          <w:rFonts w:ascii="Helvetica" w:hAnsi="Helvetica" w:cs="Helvetica" w:hint="eastAsia"/>
          <w:b/>
          <w:color w:val="000000"/>
          <w:sz w:val="32"/>
          <w:szCs w:val="32"/>
        </w:rPr>
        <w:t>产品</w:t>
      </w:r>
      <w:r>
        <w:rPr>
          <w:rFonts w:ascii="Helvetica" w:hAnsi="Helvetica" w:cs="Helvetica"/>
          <w:b/>
          <w:color w:val="000000"/>
          <w:sz w:val="32"/>
          <w:szCs w:val="32"/>
        </w:rPr>
        <w:t>风险揭示书</w:t>
      </w:r>
    </w:p>
    <w:p w:rsidR="00DA583B" w:rsidRDefault="00DA583B" w:rsidP="00DA583B">
      <w:pPr>
        <w:spacing w:line="361" w:lineRule="exact"/>
        <w:rPr>
          <w:rFonts w:eastAsia="Times New Roman"/>
          <w:szCs w:val="21"/>
        </w:rPr>
      </w:pPr>
    </w:p>
    <w:p w:rsidR="00DA583B" w:rsidRDefault="00DA583B" w:rsidP="00DA583B">
      <w:pPr>
        <w:snapToGrid w:val="0"/>
        <w:spacing w:line="360" w:lineRule="exact"/>
        <w:ind w:left="360"/>
        <w:rPr>
          <w:sz w:val="18"/>
          <w:szCs w:val="18"/>
        </w:rPr>
      </w:pPr>
      <w:r>
        <w:rPr>
          <w:sz w:val="18"/>
          <w:szCs w:val="18"/>
        </w:rPr>
        <w:t>尊敬的客户：</w:t>
      </w:r>
    </w:p>
    <w:p w:rsidR="00DA583B" w:rsidRDefault="00DA583B" w:rsidP="00DA583B">
      <w:pPr>
        <w:snapToGrid w:val="0"/>
        <w:spacing w:line="360" w:lineRule="exact"/>
        <w:ind w:left="360" w:right="366" w:firstLine="420"/>
        <w:rPr>
          <w:b/>
          <w:sz w:val="18"/>
          <w:szCs w:val="18"/>
          <w:u w:val="single"/>
        </w:rPr>
      </w:pPr>
      <w:r>
        <w:rPr>
          <w:rFonts w:hint="eastAsia"/>
          <w:b/>
          <w:sz w:val="18"/>
          <w:szCs w:val="18"/>
          <w:u w:val="single"/>
        </w:rPr>
        <w:t>结构性存款不同于一般性存款、具有投资风险。请</w:t>
      </w:r>
      <w:r>
        <w:rPr>
          <w:b/>
          <w:sz w:val="18"/>
          <w:szCs w:val="18"/>
          <w:u w:val="single"/>
        </w:rPr>
        <w:t>您</w:t>
      </w:r>
      <w:r>
        <w:rPr>
          <w:rFonts w:hint="eastAsia"/>
          <w:b/>
          <w:sz w:val="18"/>
          <w:szCs w:val="18"/>
          <w:u w:val="single"/>
        </w:rPr>
        <w:t>在</w:t>
      </w:r>
      <w:r>
        <w:rPr>
          <w:b/>
          <w:sz w:val="18"/>
          <w:szCs w:val="18"/>
          <w:u w:val="single"/>
        </w:rPr>
        <w:t>选择本存款</w:t>
      </w:r>
      <w:r>
        <w:rPr>
          <w:rFonts w:hint="eastAsia"/>
          <w:b/>
          <w:sz w:val="18"/>
          <w:szCs w:val="18"/>
          <w:u w:val="single"/>
        </w:rPr>
        <w:t>产品</w:t>
      </w:r>
      <w:r>
        <w:rPr>
          <w:b/>
          <w:sz w:val="18"/>
          <w:szCs w:val="18"/>
          <w:u w:val="single"/>
        </w:rPr>
        <w:t>（</w:t>
      </w:r>
      <w:r>
        <w:rPr>
          <w:rFonts w:hint="eastAsia"/>
          <w:b/>
          <w:sz w:val="18"/>
          <w:szCs w:val="18"/>
          <w:u w:val="single"/>
        </w:rPr>
        <w:t>以</w:t>
      </w:r>
      <w:r>
        <w:rPr>
          <w:b/>
          <w:sz w:val="18"/>
          <w:szCs w:val="18"/>
          <w:u w:val="single"/>
        </w:rPr>
        <w:t>下称</w:t>
      </w:r>
      <w:r>
        <w:rPr>
          <w:rFonts w:ascii="Arial" w:eastAsia="Arial" w:hAnsi="Arial"/>
          <w:b/>
          <w:sz w:val="18"/>
          <w:szCs w:val="18"/>
          <w:u w:val="single"/>
        </w:rPr>
        <w:t>“</w:t>
      </w:r>
      <w:r>
        <w:rPr>
          <w:b/>
          <w:sz w:val="18"/>
          <w:szCs w:val="18"/>
          <w:u w:val="single"/>
        </w:rPr>
        <w:t>存款</w:t>
      </w:r>
      <w:r>
        <w:rPr>
          <w:rFonts w:ascii="Arial" w:eastAsia="Arial" w:hAnsi="Arial"/>
          <w:b/>
          <w:sz w:val="18"/>
          <w:szCs w:val="18"/>
          <w:u w:val="single"/>
        </w:rPr>
        <w:t>”</w:t>
      </w:r>
      <w:r>
        <w:rPr>
          <w:b/>
          <w:sz w:val="18"/>
          <w:szCs w:val="18"/>
          <w:u w:val="single"/>
        </w:rPr>
        <w:t>）前，仔细阅读以下重要内容</w:t>
      </w:r>
      <w:r>
        <w:rPr>
          <w:rFonts w:hint="eastAsia"/>
          <w:b/>
          <w:sz w:val="18"/>
          <w:szCs w:val="18"/>
          <w:u w:val="single"/>
        </w:rPr>
        <w:t>，了解本产品具体情况，充分认识投资风险，谨慎投资。</w:t>
      </w:r>
    </w:p>
    <w:p w:rsidR="00DA583B" w:rsidRDefault="00DA583B" w:rsidP="00DA583B">
      <w:pPr>
        <w:snapToGrid w:val="0"/>
        <w:spacing w:line="360" w:lineRule="exact"/>
        <w:ind w:left="840"/>
        <w:rPr>
          <w:b/>
          <w:sz w:val="18"/>
          <w:szCs w:val="18"/>
        </w:rPr>
      </w:pPr>
      <w:r>
        <w:rPr>
          <w:rFonts w:hint="eastAsia"/>
          <w:b/>
          <w:sz w:val="18"/>
          <w:szCs w:val="18"/>
        </w:rPr>
        <w:t>本款产品可能存在</w:t>
      </w:r>
      <w:r>
        <w:rPr>
          <w:b/>
          <w:sz w:val="18"/>
          <w:szCs w:val="18"/>
        </w:rPr>
        <w:t>以下风险：</w:t>
      </w:r>
    </w:p>
    <w:p w:rsidR="00DA583B" w:rsidRDefault="00DA583B" w:rsidP="00DA583B">
      <w:pPr>
        <w:snapToGrid w:val="0"/>
        <w:spacing w:line="360" w:lineRule="exact"/>
        <w:ind w:left="360" w:right="246" w:firstLine="353"/>
        <w:rPr>
          <w:b/>
          <w:sz w:val="18"/>
          <w:szCs w:val="18"/>
        </w:rPr>
      </w:pPr>
      <w:r>
        <w:rPr>
          <w:rFonts w:hint="eastAsia"/>
          <w:b/>
          <w:sz w:val="18"/>
          <w:szCs w:val="18"/>
        </w:rPr>
        <w:t xml:space="preserve">1. </w:t>
      </w:r>
      <w:r>
        <w:rPr>
          <w:b/>
          <w:sz w:val="18"/>
          <w:szCs w:val="18"/>
        </w:rPr>
        <w:t>市场风险：</w:t>
      </w:r>
      <w:r>
        <w:rPr>
          <w:rFonts w:hint="eastAsia"/>
          <w:sz w:val="18"/>
          <w:szCs w:val="18"/>
        </w:rPr>
        <w:t>在《产品说明书》期限内由于利率、汇率、商品等市场价格变化而导致的风险，在一定情况下甚至会影响本产品的发行、受理、交易和偿还等的正常进行。杭州联合农村商业</w:t>
      </w:r>
      <w:r>
        <w:rPr>
          <w:sz w:val="18"/>
          <w:szCs w:val="18"/>
        </w:rPr>
        <w:t>银行</w:t>
      </w:r>
      <w:r>
        <w:rPr>
          <w:rFonts w:hint="eastAsia"/>
          <w:sz w:val="18"/>
          <w:szCs w:val="18"/>
        </w:rPr>
        <w:t>股份有限公司（以下简称杭州联合银行）</w:t>
      </w:r>
      <w:r>
        <w:rPr>
          <w:sz w:val="18"/>
          <w:szCs w:val="18"/>
        </w:rPr>
        <w:t>仅保障存款本金和保底</w:t>
      </w:r>
      <w:r>
        <w:rPr>
          <w:rFonts w:hint="eastAsia"/>
          <w:sz w:val="18"/>
          <w:szCs w:val="18"/>
        </w:rPr>
        <w:t>收益率</w:t>
      </w:r>
      <w:r>
        <w:rPr>
          <w:sz w:val="18"/>
          <w:szCs w:val="18"/>
        </w:rPr>
        <w:t>范围内的</w:t>
      </w:r>
      <w:r>
        <w:rPr>
          <w:rFonts w:hint="eastAsia"/>
          <w:sz w:val="18"/>
          <w:szCs w:val="18"/>
        </w:rPr>
        <w:t>收益</w:t>
      </w:r>
      <w:r>
        <w:rPr>
          <w:sz w:val="18"/>
          <w:szCs w:val="18"/>
        </w:rPr>
        <w:t>，您应充分认识利息不确定的风险。本</w:t>
      </w:r>
      <w:r>
        <w:rPr>
          <w:rFonts w:hint="eastAsia"/>
          <w:sz w:val="18"/>
          <w:szCs w:val="18"/>
        </w:rPr>
        <w:t>产品</w:t>
      </w:r>
      <w:r>
        <w:rPr>
          <w:sz w:val="18"/>
          <w:szCs w:val="18"/>
        </w:rPr>
        <w:t>的</w:t>
      </w:r>
      <w:r>
        <w:rPr>
          <w:rFonts w:hint="eastAsia"/>
          <w:sz w:val="18"/>
          <w:szCs w:val="18"/>
        </w:rPr>
        <w:t>收益</w:t>
      </w:r>
      <w:r>
        <w:rPr>
          <w:sz w:val="18"/>
          <w:szCs w:val="18"/>
        </w:rPr>
        <w:t>由保底</w:t>
      </w:r>
      <w:r>
        <w:rPr>
          <w:rFonts w:hint="eastAsia"/>
          <w:sz w:val="18"/>
          <w:szCs w:val="18"/>
        </w:rPr>
        <w:t>收益率</w:t>
      </w:r>
      <w:r>
        <w:rPr>
          <w:sz w:val="18"/>
          <w:szCs w:val="18"/>
        </w:rPr>
        <w:t>及浮动</w:t>
      </w:r>
      <w:r>
        <w:rPr>
          <w:rFonts w:hint="eastAsia"/>
          <w:sz w:val="18"/>
          <w:szCs w:val="18"/>
        </w:rPr>
        <w:t>收益率</w:t>
      </w:r>
      <w:r>
        <w:rPr>
          <w:sz w:val="18"/>
          <w:szCs w:val="18"/>
        </w:rPr>
        <w:t>组成，浮动</w:t>
      </w:r>
      <w:r>
        <w:rPr>
          <w:rFonts w:hint="eastAsia"/>
          <w:sz w:val="18"/>
          <w:szCs w:val="18"/>
        </w:rPr>
        <w:t>收益率</w:t>
      </w:r>
      <w:r>
        <w:rPr>
          <w:sz w:val="18"/>
          <w:szCs w:val="18"/>
        </w:rPr>
        <w:t>取决于挂钩标的价格变化，受市场多种要素的影响。利息不确定的风险由</w:t>
      </w:r>
      <w:r>
        <w:rPr>
          <w:rFonts w:hint="eastAsia"/>
          <w:sz w:val="18"/>
          <w:szCs w:val="18"/>
        </w:rPr>
        <w:t>投资者</w:t>
      </w:r>
      <w:r>
        <w:rPr>
          <w:sz w:val="18"/>
          <w:szCs w:val="18"/>
        </w:rPr>
        <w:t>自行承担，</w:t>
      </w:r>
      <w:r>
        <w:rPr>
          <w:rFonts w:hint="eastAsia"/>
          <w:sz w:val="18"/>
          <w:szCs w:val="18"/>
        </w:rPr>
        <w:t>投资者</w:t>
      </w:r>
      <w:r>
        <w:rPr>
          <w:sz w:val="18"/>
          <w:szCs w:val="18"/>
        </w:rPr>
        <w:t>应对此有充分的认识。如果在</w:t>
      </w:r>
      <w:r>
        <w:rPr>
          <w:rFonts w:hint="eastAsia"/>
          <w:sz w:val="18"/>
          <w:szCs w:val="18"/>
        </w:rPr>
        <w:t>产品存续</w:t>
      </w:r>
      <w:r>
        <w:rPr>
          <w:sz w:val="18"/>
          <w:szCs w:val="18"/>
        </w:rPr>
        <w:t>期内，市场利率上升，本</w:t>
      </w:r>
      <w:r>
        <w:rPr>
          <w:rFonts w:hint="eastAsia"/>
          <w:sz w:val="18"/>
          <w:szCs w:val="18"/>
        </w:rPr>
        <w:t>产品</w:t>
      </w:r>
      <w:r>
        <w:rPr>
          <w:sz w:val="18"/>
          <w:szCs w:val="18"/>
        </w:rPr>
        <w:t>的</w:t>
      </w:r>
      <w:r>
        <w:rPr>
          <w:rFonts w:hint="eastAsia"/>
          <w:sz w:val="18"/>
          <w:szCs w:val="18"/>
        </w:rPr>
        <w:t>收益</w:t>
      </w:r>
      <w:r>
        <w:rPr>
          <w:sz w:val="18"/>
          <w:szCs w:val="18"/>
        </w:rPr>
        <w:t>不随市场利率上升而提高。</w:t>
      </w:r>
    </w:p>
    <w:p w:rsidR="00DA583B" w:rsidRDefault="00DA583B" w:rsidP="00DA583B">
      <w:pPr>
        <w:adjustRightInd w:val="0"/>
        <w:snapToGrid w:val="0"/>
        <w:spacing w:line="360" w:lineRule="exact"/>
        <w:ind w:leftChars="180" w:left="378" w:firstLineChars="196" w:firstLine="354"/>
        <w:rPr>
          <w:sz w:val="18"/>
          <w:szCs w:val="18"/>
        </w:rPr>
      </w:pPr>
      <w:r>
        <w:rPr>
          <w:rFonts w:hint="eastAsia"/>
          <w:b/>
          <w:sz w:val="18"/>
          <w:szCs w:val="18"/>
        </w:rPr>
        <w:t>2</w:t>
      </w:r>
      <w:r>
        <w:rPr>
          <w:b/>
          <w:sz w:val="18"/>
          <w:szCs w:val="18"/>
        </w:rPr>
        <w:t>.</w:t>
      </w:r>
      <w:r>
        <w:rPr>
          <w:rFonts w:hint="eastAsia"/>
          <w:b/>
          <w:sz w:val="18"/>
          <w:szCs w:val="18"/>
        </w:rPr>
        <w:t xml:space="preserve"> </w:t>
      </w:r>
      <w:r>
        <w:rPr>
          <w:rFonts w:hint="eastAsia"/>
          <w:b/>
          <w:sz w:val="18"/>
          <w:szCs w:val="18"/>
        </w:rPr>
        <w:t>信用风险：</w:t>
      </w:r>
      <w:r>
        <w:rPr>
          <w:rFonts w:hint="eastAsia"/>
          <w:sz w:val="18"/>
          <w:szCs w:val="18"/>
        </w:rPr>
        <w:t>由于本产品所交易的金融工具的交易对手或受托人等违约，不能如期支付产品收益，而可能影响产品收益的相关情形。</w:t>
      </w:r>
    </w:p>
    <w:p w:rsidR="00DA583B" w:rsidRDefault="00DA583B" w:rsidP="00DA583B">
      <w:pPr>
        <w:snapToGrid w:val="0"/>
        <w:spacing w:line="360" w:lineRule="exact"/>
        <w:ind w:left="360" w:right="366" w:firstLine="353"/>
        <w:rPr>
          <w:sz w:val="18"/>
          <w:szCs w:val="18"/>
        </w:rPr>
      </w:pPr>
      <w:r>
        <w:rPr>
          <w:rFonts w:hint="eastAsia"/>
          <w:b/>
          <w:sz w:val="18"/>
          <w:szCs w:val="18"/>
        </w:rPr>
        <w:t>3</w:t>
      </w:r>
      <w:r>
        <w:rPr>
          <w:b/>
          <w:sz w:val="18"/>
          <w:szCs w:val="18"/>
        </w:rPr>
        <w:t>.</w:t>
      </w:r>
      <w:r>
        <w:rPr>
          <w:b/>
          <w:sz w:val="18"/>
          <w:szCs w:val="18"/>
        </w:rPr>
        <w:t>政策风险：</w:t>
      </w:r>
      <w:r>
        <w:rPr>
          <w:sz w:val="18"/>
          <w:szCs w:val="18"/>
        </w:rPr>
        <w:t>本</w:t>
      </w:r>
      <w:r>
        <w:rPr>
          <w:rFonts w:hint="eastAsia"/>
          <w:sz w:val="18"/>
          <w:szCs w:val="18"/>
        </w:rPr>
        <w:t>产品</w:t>
      </w:r>
      <w:r>
        <w:rPr>
          <w:sz w:val="18"/>
          <w:szCs w:val="18"/>
        </w:rPr>
        <w:t>是针对当前的相关法规和政策设计的。如国家宏观政策以及市场相关法规政策发生变化，可能影响</w:t>
      </w:r>
      <w:r>
        <w:rPr>
          <w:rFonts w:hint="eastAsia"/>
          <w:sz w:val="18"/>
          <w:szCs w:val="18"/>
        </w:rPr>
        <w:t>产品</w:t>
      </w:r>
      <w:r>
        <w:rPr>
          <w:sz w:val="18"/>
          <w:szCs w:val="18"/>
        </w:rPr>
        <w:t>的起息、存续期、到期等的正常进行，甚至导致本</w:t>
      </w:r>
      <w:r>
        <w:rPr>
          <w:rFonts w:hint="eastAsia"/>
          <w:sz w:val="18"/>
          <w:szCs w:val="18"/>
        </w:rPr>
        <w:t>产品</w:t>
      </w:r>
      <w:r>
        <w:rPr>
          <w:sz w:val="18"/>
          <w:szCs w:val="18"/>
        </w:rPr>
        <w:t>利息降低。</w:t>
      </w:r>
    </w:p>
    <w:p w:rsidR="00DA583B" w:rsidRDefault="00DA583B" w:rsidP="00DA583B">
      <w:pPr>
        <w:snapToGrid w:val="0"/>
        <w:spacing w:line="360" w:lineRule="exact"/>
        <w:ind w:left="720"/>
        <w:rPr>
          <w:sz w:val="18"/>
          <w:szCs w:val="18"/>
        </w:rPr>
      </w:pPr>
      <w:r>
        <w:rPr>
          <w:rFonts w:hint="eastAsia"/>
          <w:b/>
          <w:sz w:val="18"/>
          <w:szCs w:val="18"/>
        </w:rPr>
        <w:t>4</w:t>
      </w:r>
      <w:r>
        <w:rPr>
          <w:b/>
          <w:sz w:val="18"/>
          <w:szCs w:val="18"/>
        </w:rPr>
        <w:t>.</w:t>
      </w:r>
      <w:r>
        <w:rPr>
          <w:b/>
          <w:sz w:val="18"/>
          <w:szCs w:val="18"/>
        </w:rPr>
        <w:t>流动性风险：</w:t>
      </w:r>
      <w:r>
        <w:rPr>
          <w:sz w:val="18"/>
          <w:szCs w:val="18"/>
        </w:rPr>
        <w:t>产品存续期内，</w:t>
      </w:r>
      <w:r>
        <w:rPr>
          <w:rFonts w:hint="eastAsia"/>
          <w:sz w:val="18"/>
          <w:szCs w:val="18"/>
        </w:rPr>
        <w:t>投资者</w:t>
      </w:r>
      <w:r>
        <w:rPr>
          <w:sz w:val="18"/>
          <w:szCs w:val="18"/>
        </w:rPr>
        <w:t>不享有提前支取权利。</w:t>
      </w:r>
    </w:p>
    <w:p w:rsidR="00DA583B" w:rsidRDefault="00DA583B" w:rsidP="00DA583B">
      <w:pPr>
        <w:snapToGrid w:val="0"/>
        <w:spacing w:line="360" w:lineRule="exact"/>
        <w:ind w:left="360" w:right="366" w:firstLine="353"/>
        <w:rPr>
          <w:sz w:val="18"/>
          <w:szCs w:val="18"/>
        </w:rPr>
      </w:pPr>
      <w:r>
        <w:rPr>
          <w:rFonts w:hint="eastAsia"/>
          <w:b/>
          <w:sz w:val="18"/>
          <w:szCs w:val="18"/>
        </w:rPr>
        <w:t>5</w:t>
      </w:r>
      <w:r>
        <w:rPr>
          <w:b/>
          <w:sz w:val="18"/>
          <w:szCs w:val="18"/>
        </w:rPr>
        <w:t>.</w:t>
      </w:r>
      <w:r>
        <w:rPr>
          <w:b/>
          <w:sz w:val="18"/>
          <w:szCs w:val="18"/>
        </w:rPr>
        <w:t>欠缺投资经验的风险：</w:t>
      </w:r>
      <w:r>
        <w:rPr>
          <w:sz w:val="18"/>
          <w:szCs w:val="18"/>
        </w:rPr>
        <w:t>本</w:t>
      </w:r>
      <w:r>
        <w:rPr>
          <w:rFonts w:hint="eastAsia"/>
          <w:sz w:val="18"/>
          <w:szCs w:val="18"/>
        </w:rPr>
        <w:t>产品</w:t>
      </w:r>
      <w:r>
        <w:rPr>
          <w:sz w:val="18"/>
          <w:szCs w:val="18"/>
        </w:rPr>
        <w:t>的浮动</w:t>
      </w:r>
      <w:r>
        <w:rPr>
          <w:rFonts w:hint="eastAsia"/>
          <w:sz w:val="18"/>
          <w:szCs w:val="18"/>
        </w:rPr>
        <w:t>收益率</w:t>
      </w:r>
      <w:r>
        <w:rPr>
          <w:sz w:val="18"/>
          <w:szCs w:val="18"/>
        </w:rPr>
        <w:t>与挂钩标的的价格水平挂钩，</w:t>
      </w:r>
      <w:r>
        <w:rPr>
          <w:rFonts w:hint="eastAsia"/>
          <w:sz w:val="18"/>
          <w:szCs w:val="18"/>
        </w:rPr>
        <w:t>收益</w:t>
      </w:r>
      <w:r>
        <w:rPr>
          <w:sz w:val="18"/>
          <w:szCs w:val="18"/>
        </w:rPr>
        <w:t>计算较为复杂，故只适合于具备相关投资经验和风险承受能力的</w:t>
      </w:r>
      <w:r>
        <w:rPr>
          <w:rFonts w:hint="eastAsia"/>
          <w:sz w:val="18"/>
          <w:szCs w:val="18"/>
        </w:rPr>
        <w:t>投资者</w:t>
      </w:r>
      <w:r>
        <w:rPr>
          <w:sz w:val="18"/>
          <w:szCs w:val="18"/>
        </w:rPr>
        <w:t>。</w:t>
      </w:r>
    </w:p>
    <w:p w:rsidR="00DA583B" w:rsidRDefault="00DA583B" w:rsidP="00DA583B">
      <w:pPr>
        <w:snapToGrid w:val="0"/>
        <w:spacing w:line="360" w:lineRule="exact"/>
        <w:ind w:left="360" w:right="366" w:firstLine="353"/>
        <w:rPr>
          <w:sz w:val="18"/>
          <w:szCs w:val="18"/>
        </w:rPr>
      </w:pPr>
      <w:r>
        <w:rPr>
          <w:rFonts w:hint="eastAsia"/>
          <w:b/>
          <w:sz w:val="18"/>
          <w:szCs w:val="18"/>
        </w:rPr>
        <w:t>6</w:t>
      </w:r>
      <w:r>
        <w:rPr>
          <w:b/>
          <w:sz w:val="18"/>
          <w:szCs w:val="18"/>
        </w:rPr>
        <w:t>.</w:t>
      </w:r>
      <w:r>
        <w:rPr>
          <w:rFonts w:hint="eastAsia"/>
          <w:b/>
          <w:sz w:val="18"/>
          <w:szCs w:val="18"/>
        </w:rPr>
        <w:t>产品</w:t>
      </w:r>
      <w:r>
        <w:rPr>
          <w:b/>
          <w:sz w:val="18"/>
          <w:szCs w:val="18"/>
        </w:rPr>
        <w:t>不成立风险：</w:t>
      </w:r>
      <w:r>
        <w:rPr>
          <w:rFonts w:hint="eastAsia"/>
          <w:sz w:val="18"/>
          <w:szCs w:val="18"/>
        </w:rPr>
        <w:t>如产品募集期届满，募集总金额未达到规模下限</w:t>
      </w:r>
      <w:r>
        <w:rPr>
          <w:sz w:val="18"/>
          <w:szCs w:val="18"/>
        </w:rPr>
        <w:t>，</w:t>
      </w:r>
      <w:r>
        <w:rPr>
          <w:rFonts w:hint="eastAsia"/>
          <w:sz w:val="18"/>
          <w:szCs w:val="18"/>
        </w:rPr>
        <w:t>或</w:t>
      </w:r>
      <w:r>
        <w:rPr>
          <w:sz w:val="18"/>
          <w:szCs w:val="18"/>
        </w:rPr>
        <w:t>国家宏观政策以及市场相关法规政策发生变化，或市场发生剧烈波动，且经杭州联合银行合理判断难以按照本</w:t>
      </w:r>
      <w:r>
        <w:rPr>
          <w:rFonts w:hint="eastAsia"/>
          <w:sz w:val="18"/>
          <w:szCs w:val="18"/>
        </w:rPr>
        <w:t>《</w:t>
      </w:r>
      <w:r>
        <w:rPr>
          <w:sz w:val="18"/>
          <w:szCs w:val="18"/>
        </w:rPr>
        <w:t>产品说明书</w:t>
      </w:r>
      <w:r>
        <w:rPr>
          <w:rFonts w:hint="eastAsia"/>
          <w:sz w:val="18"/>
          <w:szCs w:val="18"/>
        </w:rPr>
        <w:t>》</w:t>
      </w:r>
      <w:r>
        <w:rPr>
          <w:sz w:val="18"/>
          <w:szCs w:val="18"/>
        </w:rPr>
        <w:t>规定向</w:t>
      </w:r>
      <w:r>
        <w:rPr>
          <w:rFonts w:hint="eastAsia"/>
          <w:sz w:val="18"/>
          <w:szCs w:val="18"/>
        </w:rPr>
        <w:t>投资者</w:t>
      </w:r>
      <w:r>
        <w:rPr>
          <w:sz w:val="18"/>
          <w:szCs w:val="18"/>
        </w:rPr>
        <w:t>提供本</w:t>
      </w:r>
      <w:r>
        <w:rPr>
          <w:rFonts w:hint="eastAsia"/>
          <w:sz w:val="18"/>
          <w:szCs w:val="18"/>
        </w:rPr>
        <w:t>产品</w:t>
      </w:r>
      <w:r>
        <w:rPr>
          <w:sz w:val="18"/>
          <w:szCs w:val="18"/>
        </w:rPr>
        <w:t>，则杭州联合银行有权决定本</w:t>
      </w:r>
      <w:r>
        <w:rPr>
          <w:rFonts w:hint="eastAsia"/>
          <w:sz w:val="18"/>
          <w:szCs w:val="18"/>
        </w:rPr>
        <w:t>产品</w:t>
      </w:r>
      <w:r>
        <w:rPr>
          <w:sz w:val="18"/>
          <w:szCs w:val="18"/>
        </w:rPr>
        <w:t>不成立。</w:t>
      </w:r>
    </w:p>
    <w:p w:rsidR="00DA583B" w:rsidRDefault="00DA583B" w:rsidP="00DA583B">
      <w:pPr>
        <w:snapToGrid w:val="0"/>
        <w:spacing w:line="360" w:lineRule="exact"/>
        <w:ind w:left="360" w:right="366" w:firstLine="353"/>
        <w:rPr>
          <w:sz w:val="18"/>
          <w:szCs w:val="18"/>
        </w:rPr>
      </w:pPr>
      <w:r>
        <w:rPr>
          <w:rFonts w:hint="eastAsia"/>
          <w:b/>
          <w:sz w:val="18"/>
          <w:szCs w:val="18"/>
        </w:rPr>
        <w:t>7</w:t>
      </w:r>
      <w:r>
        <w:rPr>
          <w:b/>
          <w:sz w:val="18"/>
          <w:szCs w:val="18"/>
        </w:rPr>
        <w:t>.</w:t>
      </w:r>
      <w:r>
        <w:rPr>
          <w:b/>
          <w:sz w:val="18"/>
          <w:szCs w:val="18"/>
        </w:rPr>
        <w:t>数据来源风险：</w:t>
      </w:r>
      <w:r>
        <w:rPr>
          <w:sz w:val="18"/>
          <w:szCs w:val="18"/>
        </w:rPr>
        <w:t>在本</w:t>
      </w:r>
      <w:r>
        <w:rPr>
          <w:rFonts w:hint="eastAsia"/>
          <w:sz w:val="18"/>
          <w:szCs w:val="18"/>
        </w:rPr>
        <w:t>产品</w:t>
      </w:r>
      <w:r>
        <w:rPr>
          <w:sz w:val="18"/>
          <w:szCs w:val="18"/>
        </w:rPr>
        <w:t>收益率的计算中，需要使用到数据提供商提供的挂钩标的的价格水平。如果届时产品说明书中约定的数据提供商提供的参照页面不能给出所需的价格水平，杭州联合银行将本着公平、公正、公允的原则，选择市场认可的合理的价格水平进行计算。</w:t>
      </w:r>
    </w:p>
    <w:p w:rsidR="00DA583B" w:rsidRDefault="00DA583B" w:rsidP="00DA583B">
      <w:pPr>
        <w:snapToGrid w:val="0"/>
        <w:spacing w:line="360" w:lineRule="exact"/>
        <w:ind w:leftChars="153" w:left="321" w:rightChars="65" w:right="136" w:firstLineChars="196" w:firstLine="354"/>
        <w:rPr>
          <w:sz w:val="18"/>
          <w:szCs w:val="18"/>
        </w:rPr>
      </w:pPr>
      <w:r>
        <w:rPr>
          <w:rFonts w:hint="eastAsia"/>
          <w:b/>
          <w:sz w:val="18"/>
          <w:szCs w:val="18"/>
        </w:rPr>
        <w:t>8.</w:t>
      </w:r>
      <w:r>
        <w:rPr>
          <w:rFonts w:hint="eastAsia"/>
          <w:b/>
          <w:sz w:val="18"/>
          <w:szCs w:val="18"/>
        </w:rPr>
        <w:t>信息传递风险：</w:t>
      </w:r>
      <w:r>
        <w:rPr>
          <w:rFonts w:hint="eastAsia"/>
          <w:sz w:val="18"/>
          <w:szCs w:val="18"/>
        </w:rPr>
        <w:t>投资者应根据本《产品说明书》所载明的公告方式及时查询本产品的相关信息。杭州联合银行按照《产品说明书》“信息公告”的约定，发布产品的信息公告。投资者应根据“信息公告”的约定及时通过我行官方网站（</w:t>
      </w:r>
      <w:r>
        <w:rPr>
          <w:rFonts w:hint="eastAsia"/>
          <w:sz w:val="18"/>
          <w:szCs w:val="18"/>
        </w:rPr>
        <w:t>www.urcb.com</w:t>
      </w:r>
      <w:r>
        <w:rPr>
          <w:rFonts w:hint="eastAsia"/>
          <w:sz w:val="18"/>
          <w:szCs w:val="18"/>
        </w:rPr>
        <w:t>）进行查询。如果投资者未及时查询，或由于通讯故障、系统故障以及其他不可抗力等因素的影响使得投资者无法及时了解产品信息，并由此影响投资者的投资决策，因此而产生的责任和风险由投资者自行承担。另外，投资者预留在杭州联合银行的有效联系方式变更的，应及时通知杭州联合银行。如投资者未及时告知杭州联合银行联系方式变更或因投资者其他原因，杭州联合银行将可能在需要联系投资者时无法及时联系上，并可能会由此影响投资者的投资决策，由此而产生的责任和风险由投资者自行承担。</w:t>
      </w:r>
    </w:p>
    <w:p w:rsidR="00DA583B" w:rsidRDefault="00DA583B" w:rsidP="00DA583B">
      <w:pPr>
        <w:snapToGrid w:val="0"/>
        <w:spacing w:line="360" w:lineRule="exact"/>
        <w:ind w:left="360" w:right="246" w:firstLine="353"/>
        <w:rPr>
          <w:sz w:val="18"/>
          <w:szCs w:val="18"/>
        </w:rPr>
      </w:pPr>
      <w:r>
        <w:rPr>
          <w:rFonts w:hint="eastAsia"/>
          <w:b/>
          <w:sz w:val="18"/>
          <w:szCs w:val="18"/>
        </w:rPr>
        <w:t>9</w:t>
      </w:r>
      <w:r>
        <w:rPr>
          <w:b/>
          <w:sz w:val="18"/>
          <w:szCs w:val="18"/>
        </w:rPr>
        <w:t>.</w:t>
      </w:r>
      <w:r>
        <w:rPr>
          <w:b/>
          <w:sz w:val="18"/>
          <w:szCs w:val="18"/>
        </w:rPr>
        <w:t>不可抗力风险：</w:t>
      </w:r>
      <w:r>
        <w:rPr>
          <w:sz w:val="18"/>
          <w:szCs w:val="18"/>
        </w:rPr>
        <w:t>指由于自然灾害、战争等不可抗力因素的出现，将严重影响金融市场的正常运行，可能影响</w:t>
      </w:r>
      <w:r>
        <w:rPr>
          <w:rFonts w:hint="eastAsia"/>
          <w:sz w:val="18"/>
          <w:szCs w:val="18"/>
        </w:rPr>
        <w:t>产品</w:t>
      </w:r>
      <w:r>
        <w:rPr>
          <w:sz w:val="18"/>
          <w:szCs w:val="18"/>
        </w:rPr>
        <w:t>的起息、存续期、到期等的正常进行，甚至导致本</w:t>
      </w:r>
      <w:r>
        <w:rPr>
          <w:rFonts w:hint="eastAsia"/>
          <w:sz w:val="18"/>
          <w:szCs w:val="18"/>
        </w:rPr>
        <w:t>产品</w:t>
      </w:r>
      <w:r>
        <w:rPr>
          <w:sz w:val="18"/>
          <w:szCs w:val="18"/>
        </w:rPr>
        <w:t>收益降低乃至本金损失。对于由不可抗力风险所导致的任何损失，由</w:t>
      </w:r>
      <w:r>
        <w:rPr>
          <w:rFonts w:hint="eastAsia"/>
          <w:sz w:val="18"/>
          <w:szCs w:val="18"/>
        </w:rPr>
        <w:t>投资者</w:t>
      </w:r>
      <w:r>
        <w:rPr>
          <w:sz w:val="18"/>
          <w:szCs w:val="18"/>
        </w:rPr>
        <w:t>自行承担，杭州联合银行对此不承担任何责任。</w:t>
      </w:r>
    </w:p>
    <w:p w:rsidR="00DA583B" w:rsidRDefault="00DA583B" w:rsidP="00DA583B">
      <w:pPr>
        <w:snapToGrid w:val="0"/>
        <w:spacing w:line="360" w:lineRule="exact"/>
        <w:ind w:left="360" w:right="246" w:firstLine="353"/>
        <w:rPr>
          <w:sz w:val="18"/>
          <w:szCs w:val="18"/>
          <w:u w:val="single"/>
        </w:rPr>
      </w:pPr>
      <w:r>
        <w:rPr>
          <w:rFonts w:hint="eastAsia"/>
          <w:b/>
          <w:sz w:val="18"/>
          <w:szCs w:val="18"/>
        </w:rPr>
        <w:t xml:space="preserve"> </w:t>
      </w:r>
      <w:r>
        <w:rPr>
          <w:rFonts w:hint="eastAsia"/>
          <w:b/>
          <w:sz w:val="18"/>
          <w:szCs w:val="18"/>
          <w:u w:val="single"/>
        </w:rPr>
        <w:t>本产品属于保本浮动收益型产品，风险评级为</w:t>
      </w:r>
      <w:r>
        <w:rPr>
          <w:rFonts w:hint="eastAsia"/>
          <w:b/>
          <w:sz w:val="18"/>
          <w:szCs w:val="18"/>
          <w:u w:val="single"/>
        </w:rPr>
        <w:t>PR1</w:t>
      </w:r>
      <w:r>
        <w:rPr>
          <w:rFonts w:hint="eastAsia"/>
          <w:b/>
          <w:sz w:val="18"/>
          <w:szCs w:val="18"/>
          <w:u w:val="single"/>
        </w:rPr>
        <w:t>（低风险），在最不利情况下，将取得</w:t>
      </w:r>
      <w:r>
        <w:rPr>
          <w:rFonts w:hint="eastAsia"/>
          <w:b/>
          <w:color w:val="FF0000"/>
          <w:sz w:val="18"/>
          <w:szCs w:val="18"/>
          <w:u w:val="single"/>
        </w:rPr>
        <w:t>1.7</w:t>
      </w:r>
      <w:bookmarkStart w:id="0" w:name="_GoBack"/>
      <w:bookmarkEnd w:id="0"/>
      <w:r>
        <w:rPr>
          <w:rFonts w:hint="eastAsia"/>
          <w:b/>
          <w:color w:val="FF0000"/>
          <w:sz w:val="18"/>
          <w:szCs w:val="18"/>
          <w:u w:val="single"/>
        </w:rPr>
        <w:t>0%</w:t>
      </w:r>
      <w:r>
        <w:rPr>
          <w:rFonts w:hint="eastAsia"/>
          <w:b/>
          <w:sz w:val="18"/>
          <w:szCs w:val="18"/>
          <w:u w:val="single"/>
        </w:rPr>
        <w:lastRenderedPageBreak/>
        <w:t>的保底收益率，由此产生的风险及损失由投资者自行承担</w:t>
      </w:r>
      <w:r>
        <w:rPr>
          <w:rFonts w:hint="eastAsia"/>
          <w:b/>
          <w:sz w:val="18"/>
          <w:szCs w:val="18"/>
          <w:u w:val="single"/>
        </w:rPr>
        <w:t xml:space="preserve"> </w:t>
      </w:r>
      <w:r>
        <w:rPr>
          <w:rFonts w:hint="eastAsia"/>
          <w:b/>
          <w:sz w:val="18"/>
          <w:szCs w:val="18"/>
          <w:u w:val="single"/>
        </w:rPr>
        <w:t>。</w:t>
      </w:r>
    </w:p>
    <w:p w:rsidR="00DA583B" w:rsidRDefault="00DA583B" w:rsidP="00DA583B">
      <w:pPr>
        <w:snapToGrid w:val="0"/>
        <w:spacing w:line="360" w:lineRule="exact"/>
        <w:ind w:left="360" w:right="366" w:firstLine="482"/>
        <w:rPr>
          <w:b/>
          <w:sz w:val="18"/>
          <w:szCs w:val="18"/>
        </w:rPr>
      </w:pPr>
      <w:r>
        <w:rPr>
          <w:b/>
          <w:sz w:val="18"/>
          <w:szCs w:val="18"/>
        </w:rPr>
        <w:t>在您签署</w:t>
      </w:r>
      <w:r>
        <w:rPr>
          <w:rFonts w:hint="eastAsia"/>
          <w:b/>
          <w:sz w:val="18"/>
          <w:szCs w:val="18"/>
        </w:rPr>
        <w:t>本《风险揭示书》</w:t>
      </w:r>
      <w:r>
        <w:rPr>
          <w:b/>
          <w:sz w:val="18"/>
          <w:szCs w:val="18"/>
        </w:rPr>
        <w:t>前，应当仔细阅读本</w:t>
      </w:r>
      <w:r>
        <w:rPr>
          <w:rFonts w:hint="eastAsia"/>
          <w:b/>
          <w:sz w:val="18"/>
          <w:szCs w:val="18"/>
        </w:rPr>
        <w:t>《风险揭示书》</w:t>
      </w:r>
      <w:r>
        <w:rPr>
          <w:b/>
          <w:sz w:val="18"/>
          <w:szCs w:val="18"/>
        </w:rPr>
        <w:t>、</w:t>
      </w:r>
      <w:r>
        <w:rPr>
          <w:rFonts w:hint="eastAsia"/>
          <w:b/>
          <w:sz w:val="18"/>
          <w:szCs w:val="18"/>
        </w:rPr>
        <w:t>《产品说明书》、《产品协议书》和《投资者权益须知》</w:t>
      </w:r>
      <w:r>
        <w:rPr>
          <w:b/>
          <w:sz w:val="18"/>
          <w:szCs w:val="18"/>
        </w:rPr>
        <w:t>的全部内容，同时向</w:t>
      </w:r>
      <w:r>
        <w:rPr>
          <w:rFonts w:hint="eastAsia"/>
          <w:b/>
          <w:sz w:val="18"/>
          <w:szCs w:val="18"/>
        </w:rPr>
        <w:t>杭州联合银行</w:t>
      </w:r>
      <w:r>
        <w:rPr>
          <w:b/>
          <w:sz w:val="18"/>
          <w:szCs w:val="18"/>
        </w:rPr>
        <w:t>了解本产品的其他相关信息，并自己独立作出是否选择本</w:t>
      </w:r>
      <w:r>
        <w:rPr>
          <w:rFonts w:hint="eastAsia"/>
          <w:b/>
          <w:sz w:val="18"/>
          <w:szCs w:val="18"/>
        </w:rPr>
        <w:t>产品</w:t>
      </w:r>
      <w:r>
        <w:rPr>
          <w:b/>
          <w:sz w:val="18"/>
          <w:szCs w:val="18"/>
        </w:rPr>
        <w:t>的决定。</w:t>
      </w:r>
      <w:r>
        <w:rPr>
          <w:rFonts w:hint="eastAsia"/>
          <w:b/>
          <w:sz w:val="18"/>
          <w:szCs w:val="18"/>
        </w:rPr>
        <w:t>本产品类型、期限、风险评级结果及最不利投资情形下的投资结果的示例说明详见《产品说明书》，您将资金用于购买结构性存款产品是您真实的意思表示。本《风险揭示书》、《产品协议书》、《投资者权益须知》和《产品说明书》将共同构成投资者与杭州联合银行之间结构性存款交易合同的有效组成部分，具有同等法律效力。</w:t>
      </w:r>
    </w:p>
    <w:p w:rsidR="006F5F52" w:rsidRPr="00DA583B" w:rsidRDefault="006F5F52" w:rsidP="005A2B5B">
      <w:pPr>
        <w:widowControl/>
        <w:spacing w:line="400" w:lineRule="exact"/>
        <w:ind w:leftChars="-257" w:left="-358" w:rightChars="-250" w:right="-525" w:hanging="182"/>
        <w:contextualSpacing/>
        <w:jc w:val="left"/>
        <w:rPr>
          <w:rFonts w:ascii="仿宋_GB2312" w:eastAsia="仿宋_GB2312" w:hAnsi="宋体"/>
          <w:b/>
          <w:color w:val="000000" w:themeColor="text1"/>
          <w:szCs w:val="21"/>
        </w:rPr>
      </w:pPr>
    </w:p>
    <w:p w:rsidR="002238DC" w:rsidRPr="006B14BA" w:rsidRDefault="007F4CCF" w:rsidP="005A2B5B">
      <w:pPr>
        <w:spacing w:line="400" w:lineRule="exact"/>
        <w:jc w:val="left"/>
        <w:rPr>
          <w:rFonts w:ascii="仿宋_GB2312" w:eastAsia="仿宋_GB2312" w:hAnsi="宋体"/>
          <w:b/>
          <w:color w:val="000000" w:themeColor="text1"/>
          <w:szCs w:val="21"/>
        </w:rPr>
      </w:pPr>
      <w:r>
        <w:rPr>
          <w:rFonts w:ascii="仿宋_GB2312" w:eastAsia="仿宋_GB2312" w:hAnsi="宋体" w:hint="eastAsia"/>
          <w:b/>
          <w:color w:val="000000" w:themeColor="text1"/>
          <w:szCs w:val="21"/>
        </w:rPr>
        <w:t>投资者</w:t>
      </w:r>
      <w:r w:rsidR="002238DC" w:rsidRPr="006B14BA">
        <w:rPr>
          <w:rFonts w:ascii="仿宋_GB2312" w:eastAsia="仿宋_GB2312" w:hAnsi="宋体" w:hint="eastAsia"/>
          <w:b/>
          <w:color w:val="000000" w:themeColor="text1"/>
          <w:szCs w:val="21"/>
        </w:rPr>
        <w:t>确认栏</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本人为</w:t>
      </w:r>
      <w:r w:rsidR="00541ABA">
        <w:rPr>
          <w:rFonts w:ascii="仿宋_GB2312" w:eastAsia="仿宋_GB2312" w:hAnsi="宋体" w:hint="eastAsia"/>
          <w:color w:val="000000" w:themeColor="text1"/>
          <w:szCs w:val="21"/>
        </w:rPr>
        <w:t>单位</w:t>
      </w:r>
      <w:r w:rsidR="00BB3DB4" w:rsidRPr="005A2B5B">
        <w:rPr>
          <w:rFonts w:ascii="仿宋_GB2312" w:eastAsia="仿宋_GB2312" w:hAnsi="宋体" w:hint="eastAsia"/>
          <w:color w:val="000000" w:themeColor="text1"/>
          <w:szCs w:val="21"/>
        </w:rPr>
        <w:t>法定代表人/</w:t>
      </w:r>
      <w:r w:rsidRPr="005A2B5B">
        <w:rPr>
          <w:rFonts w:ascii="仿宋_GB2312" w:eastAsia="仿宋_GB2312" w:hAnsi="宋体" w:hint="eastAsia"/>
          <w:color w:val="000000" w:themeColor="text1"/>
          <w:szCs w:val="21"/>
        </w:rPr>
        <w:t>授权签字人</w:t>
      </w:r>
      <w:r w:rsidR="00BB3DB4" w:rsidRPr="005A2B5B">
        <w:rPr>
          <w:rFonts w:ascii="仿宋_GB2312" w:eastAsia="仿宋_GB2312" w:hAnsi="宋体" w:hint="eastAsia"/>
          <w:color w:val="000000" w:themeColor="text1"/>
          <w:szCs w:val="21"/>
        </w:rPr>
        <w:t>，本</w:t>
      </w:r>
      <w:r w:rsidRPr="005A2B5B">
        <w:rPr>
          <w:rFonts w:ascii="仿宋_GB2312" w:eastAsia="仿宋_GB2312" w:hAnsi="宋体" w:hint="eastAsia"/>
          <w:color w:val="000000" w:themeColor="text1"/>
          <w:szCs w:val="21"/>
        </w:rPr>
        <w:t>人已仔细阅读了本</w:t>
      </w:r>
      <w:r w:rsidR="00870A0C">
        <w:rPr>
          <w:rFonts w:ascii="仿宋_GB2312" w:eastAsia="仿宋_GB2312" w:hAnsi="宋体" w:hint="eastAsia"/>
          <w:color w:val="000000" w:themeColor="text1"/>
          <w:szCs w:val="21"/>
        </w:rPr>
        <w:t>产品</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产品说明书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及配套</w:t>
      </w:r>
      <w:r w:rsidR="004959A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产品协议书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风险揭示书</w:t>
      </w:r>
      <w:r w:rsidR="001B2B84">
        <w:rPr>
          <w:rFonts w:ascii="仿宋_GB2312" w:eastAsia="仿宋_GB2312" w:hAnsi="宋体" w:hint="eastAsia"/>
          <w:color w:val="000000" w:themeColor="text1"/>
          <w:szCs w:val="21"/>
        </w:rPr>
        <w:t>》</w:t>
      </w:r>
      <w:r w:rsidR="00E44EE3"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337631">
        <w:rPr>
          <w:rFonts w:ascii="仿宋_GB2312" w:eastAsia="仿宋_GB2312" w:hAnsi="宋体"/>
          <w:color w:val="000000" w:themeColor="text1"/>
          <w:szCs w:val="21"/>
        </w:rPr>
        <w:t>投资者</w:t>
      </w:r>
      <w:r w:rsidR="00E44EE3" w:rsidRPr="005A2B5B">
        <w:rPr>
          <w:rFonts w:ascii="仿宋_GB2312" w:eastAsia="仿宋_GB2312" w:hAnsi="宋体"/>
          <w:color w:val="000000" w:themeColor="text1"/>
          <w:szCs w:val="21"/>
        </w:rPr>
        <w:t>权益须知</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。杭州联合银行向本人说明了本产品所涉及到的各种风险。确认认购本产品是经过我</w:t>
      </w:r>
      <w:r w:rsidR="00541ABA">
        <w:rPr>
          <w:rFonts w:ascii="仿宋_GB2312" w:eastAsia="仿宋_GB2312" w:hAnsi="宋体" w:hint="eastAsia"/>
          <w:color w:val="000000" w:themeColor="text1"/>
          <w:szCs w:val="21"/>
        </w:rPr>
        <w:t>单位</w:t>
      </w:r>
      <w:r w:rsidRPr="005A2B5B">
        <w:rPr>
          <w:rFonts w:ascii="仿宋_GB2312" w:eastAsia="仿宋_GB2312" w:hAnsi="宋体" w:hint="eastAsia"/>
          <w:color w:val="000000" w:themeColor="text1"/>
          <w:szCs w:val="21"/>
        </w:rPr>
        <w:t>独立判断之后所</w:t>
      </w:r>
      <w:r w:rsidR="00522460">
        <w:rPr>
          <w:rFonts w:ascii="仿宋_GB2312" w:eastAsia="仿宋_GB2312" w:hAnsi="宋体" w:hint="eastAsia"/>
          <w:color w:val="000000" w:themeColor="text1"/>
          <w:szCs w:val="21"/>
        </w:rPr>
        <w:t>做出的符合本</w:t>
      </w:r>
      <w:r w:rsidR="00541ABA">
        <w:rPr>
          <w:rFonts w:ascii="仿宋_GB2312" w:eastAsia="仿宋_GB2312" w:hAnsi="宋体" w:hint="eastAsia"/>
          <w:color w:val="000000" w:themeColor="text1"/>
          <w:szCs w:val="21"/>
        </w:rPr>
        <w:t>单位</w:t>
      </w:r>
      <w:r w:rsidR="00522460">
        <w:rPr>
          <w:rFonts w:ascii="仿宋_GB2312" w:eastAsia="仿宋_GB2312" w:hAnsi="宋体" w:hint="eastAsia"/>
          <w:color w:val="000000" w:themeColor="text1"/>
          <w:szCs w:val="21"/>
        </w:rPr>
        <w:t>意愿的决定，为本单位真实的意思表达，并认为本</w:t>
      </w:r>
      <w:r w:rsidRPr="005A2B5B">
        <w:rPr>
          <w:rFonts w:ascii="仿宋_GB2312" w:eastAsia="仿宋_GB2312" w:hAnsi="宋体" w:hint="eastAsia"/>
          <w:color w:val="000000" w:themeColor="text1"/>
          <w:szCs w:val="21"/>
        </w:rPr>
        <w:t>产品完全适合本单位的投资目标、投资预期以及风险承受能力，本单位自愿承担由此带来的一切后果。</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本单位知悉并同意：投资者认购/申购</w:t>
      </w:r>
      <w:r w:rsidR="001B2B84">
        <w:rPr>
          <w:rFonts w:ascii="仿宋_GB2312" w:eastAsia="仿宋_GB2312" w:hAnsi="宋体" w:hint="eastAsia"/>
          <w:color w:val="000000" w:themeColor="text1"/>
          <w:szCs w:val="21"/>
        </w:rPr>
        <w:t>本</w:t>
      </w:r>
      <w:r w:rsidRPr="005A2B5B">
        <w:rPr>
          <w:rFonts w:ascii="仿宋_GB2312" w:eastAsia="仿宋_GB2312" w:hAnsi="宋体" w:hint="eastAsia"/>
          <w:color w:val="000000" w:themeColor="text1"/>
          <w:szCs w:val="21"/>
        </w:rPr>
        <w:t>产品的行为并不代表已经成功认购/申购对应的产品，投资者认购/申购成功的数额以杭州联合银行实际划转的资金为准。</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本单位确认如下（需全文抄录以下文字：“本单位已阅读本</w:t>
      </w:r>
      <w:r w:rsidR="00870A0C">
        <w:rPr>
          <w:rFonts w:ascii="仿宋_GB2312" w:eastAsia="仿宋_GB2312" w:hAnsi="宋体" w:hint="eastAsia"/>
          <w:color w:val="000000" w:themeColor="text1"/>
          <w:szCs w:val="21"/>
        </w:rPr>
        <w:t>产品</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产品说明书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及</w:t>
      </w:r>
      <w:r w:rsidR="001B2B84" w:rsidRPr="005A2B5B">
        <w:rPr>
          <w:rFonts w:ascii="仿宋_GB2312" w:eastAsia="仿宋_GB2312" w:hAnsi="宋体" w:hint="eastAsia"/>
          <w:color w:val="000000" w:themeColor="text1"/>
          <w:szCs w:val="21"/>
        </w:rPr>
        <w:t>配套</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产品协议书</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风险揭示书</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1B2B84">
        <w:rPr>
          <w:rFonts w:ascii="仿宋_GB2312" w:eastAsia="仿宋_GB2312" w:hAnsi="宋体"/>
          <w:color w:val="000000" w:themeColor="text1"/>
          <w:szCs w:val="21"/>
        </w:rPr>
        <w:t>投资者</w:t>
      </w:r>
      <w:r w:rsidR="001B2B84" w:rsidRPr="005A2B5B">
        <w:rPr>
          <w:rFonts w:ascii="仿宋_GB2312" w:eastAsia="仿宋_GB2312" w:hAnsi="宋体"/>
          <w:color w:val="000000" w:themeColor="text1"/>
          <w:szCs w:val="21"/>
        </w:rPr>
        <w:t>权益须知</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，愿意承担相关风险。”）</w:t>
      </w:r>
    </w:p>
    <w:p w:rsidR="002238DC" w:rsidRPr="005A2B5B" w:rsidRDefault="002238DC" w:rsidP="005A2B5B">
      <w:pPr>
        <w:pBdr>
          <w:bottom w:val="single" w:sz="4" w:space="1" w:color="auto"/>
        </w:pBdr>
        <w:spacing w:line="400" w:lineRule="exact"/>
        <w:jc w:val="left"/>
        <w:rPr>
          <w:rFonts w:ascii="仿宋_GB2312" w:eastAsia="仿宋_GB2312" w:hAnsi="Arial Unicode MS" w:cs="STKaiti,Bold"/>
          <w:bCs/>
          <w:color w:val="000000" w:themeColor="text1"/>
          <w:kern w:val="0"/>
          <w:szCs w:val="21"/>
        </w:rPr>
      </w:pPr>
    </w:p>
    <w:p w:rsidR="002238DC" w:rsidRPr="005A2B5B" w:rsidRDefault="002238DC" w:rsidP="005A2B5B">
      <w:pPr>
        <w:spacing w:line="400" w:lineRule="exact"/>
        <w:jc w:val="left"/>
        <w:rPr>
          <w:rFonts w:ascii="仿宋_GB2312" w:eastAsia="仿宋_GB2312" w:hAnsi="Arial Unicode MS" w:cs="STKaiti,Bold"/>
          <w:bCs/>
          <w:color w:val="000000" w:themeColor="text1"/>
          <w:kern w:val="0"/>
          <w:szCs w:val="21"/>
        </w:rPr>
      </w:pPr>
    </w:p>
    <w:p w:rsidR="002238DC" w:rsidRPr="005A2B5B" w:rsidRDefault="007F4CCF" w:rsidP="005A2B5B">
      <w:pPr>
        <w:spacing w:line="400" w:lineRule="exact"/>
        <w:ind w:right="360"/>
        <w:jc w:val="right"/>
        <w:rPr>
          <w:rFonts w:ascii="仿宋_GB2312" w:eastAsia="仿宋_GB2312" w:hAnsi="宋体"/>
          <w:color w:val="000000" w:themeColor="text1"/>
          <w:szCs w:val="21"/>
        </w:rPr>
      </w:pPr>
      <w:r>
        <w:rPr>
          <w:rFonts w:ascii="仿宋_GB2312" w:eastAsia="仿宋_GB2312" w:hAnsi="宋体" w:hint="eastAsia"/>
          <w:color w:val="000000" w:themeColor="text1"/>
          <w:szCs w:val="21"/>
        </w:rPr>
        <w:t>投资者</w:t>
      </w:r>
      <w:r w:rsidR="00336E8A" w:rsidRPr="005A2B5B">
        <w:rPr>
          <w:rFonts w:ascii="仿宋_GB2312" w:eastAsia="仿宋_GB2312" w:hAnsi="宋体" w:hint="eastAsia"/>
          <w:color w:val="000000" w:themeColor="text1"/>
          <w:szCs w:val="21"/>
        </w:rPr>
        <w:t>（公章）</w:t>
      </w:r>
      <w:r w:rsidR="002238DC" w:rsidRPr="005A2B5B">
        <w:rPr>
          <w:rFonts w:ascii="仿宋_GB2312" w:eastAsia="仿宋_GB2312" w:hAnsi="宋体" w:hint="eastAsia"/>
          <w:color w:val="000000" w:themeColor="text1"/>
          <w:szCs w:val="21"/>
        </w:rPr>
        <w:t xml:space="preserve">：        </w:t>
      </w:r>
    </w:p>
    <w:p w:rsidR="009F3484" w:rsidRPr="005A2B5B" w:rsidRDefault="00731C46" w:rsidP="005A2B5B">
      <w:pPr>
        <w:spacing w:line="400" w:lineRule="exact"/>
        <w:ind w:right="360"/>
        <w:jc w:val="right"/>
        <w:rPr>
          <w:rFonts w:ascii="仿宋_GB2312" w:eastAsia="仿宋_GB2312" w:hAnsi="Arial Unicode MS" w:cs="STKaiti,Bold"/>
          <w:bCs/>
          <w:color w:val="000000" w:themeColor="text1"/>
          <w:kern w:val="0"/>
          <w:szCs w:val="21"/>
        </w:rPr>
      </w:pPr>
      <w:r w:rsidRPr="005A2B5B">
        <w:rPr>
          <w:rFonts w:ascii="仿宋_GB2312" w:eastAsia="仿宋_GB2312" w:hAnsi="宋体" w:hint="eastAsia"/>
          <w:color w:val="000000" w:themeColor="text1"/>
          <w:szCs w:val="21"/>
        </w:rPr>
        <w:t>法定代表人/授权</w:t>
      </w:r>
      <w:r w:rsidR="00BB3DB4" w:rsidRPr="005A2B5B">
        <w:rPr>
          <w:rFonts w:ascii="仿宋_GB2312" w:eastAsia="仿宋_GB2312" w:hAnsi="宋体" w:hint="eastAsia"/>
          <w:color w:val="000000" w:themeColor="text1"/>
          <w:szCs w:val="21"/>
        </w:rPr>
        <w:t>签字人</w:t>
      </w:r>
      <w:r w:rsidR="002238DC" w:rsidRPr="005A2B5B">
        <w:rPr>
          <w:rFonts w:ascii="仿宋_GB2312" w:eastAsia="仿宋_GB2312" w:hAnsi="宋体" w:hint="eastAsia"/>
          <w:color w:val="000000" w:themeColor="text1"/>
          <w:szCs w:val="21"/>
        </w:rPr>
        <w:t xml:space="preserve">签名：       </w:t>
      </w:r>
    </w:p>
    <w:p w:rsidR="00E03936" w:rsidRPr="005A2B5B" w:rsidRDefault="001744EF" w:rsidP="005A2B5B">
      <w:pPr>
        <w:spacing w:line="400" w:lineRule="exact"/>
        <w:ind w:right="720"/>
        <w:jc w:val="righ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日期：年月日</w:t>
      </w:r>
    </w:p>
    <w:sectPr w:rsidR="00E03936" w:rsidRPr="005A2B5B" w:rsidSect="00661C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A8" w:rsidRDefault="004A77A8" w:rsidP="00B6635B">
      <w:r>
        <w:separator/>
      </w:r>
    </w:p>
  </w:endnote>
  <w:endnote w:type="continuationSeparator" w:id="0">
    <w:p w:rsidR="004A77A8" w:rsidRDefault="004A77A8" w:rsidP="00B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STKaiti,Bold">
    <w:altName w:val="宋体"/>
    <w:charset w:val="86"/>
    <w:family w:val="auto"/>
    <w:pitch w:val="default"/>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Ìå_GB2312">
    <w:altName w:val="Arial"/>
    <w:panose1 w:val="00000000000000000000"/>
    <w:charset w:val="00"/>
    <w:family w:val="moder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A8" w:rsidRDefault="004A77A8" w:rsidP="00B6635B">
      <w:r>
        <w:separator/>
      </w:r>
    </w:p>
  </w:footnote>
  <w:footnote w:type="continuationSeparator" w:id="0">
    <w:p w:rsidR="004A77A8" w:rsidRDefault="004A77A8" w:rsidP="00B66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542F"/>
    <w:multiLevelType w:val="hybridMultilevel"/>
    <w:tmpl w:val="C9F08E3C"/>
    <w:lvl w:ilvl="0" w:tplc="DDCA37A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773035"/>
    <w:multiLevelType w:val="hybridMultilevel"/>
    <w:tmpl w:val="03FA0034"/>
    <w:lvl w:ilvl="0" w:tplc="7806E96A">
      <w:start w:val="1"/>
      <w:numFmt w:val="decimal"/>
      <w:lvlText w:val="%1、"/>
      <w:lvlJc w:val="left"/>
      <w:pPr>
        <w:ind w:left="-165" w:hanging="360"/>
      </w:pPr>
      <w:rPr>
        <w:rFonts w:hint="default"/>
      </w:rPr>
    </w:lvl>
    <w:lvl w:ilvl="1" w:tplc="04090019" w:tentative="1">
      <w:start w:val="1"/>
      <w:numFmt w:val="lowerLetter"/>
      <w:lvlText w:val="%2)"/>
      <w:lvlJc w:val="left"/>
      <w:pPr>
        <w:ind w:left="315" w:hanging="420"/>
      </w:pPr>
    </w:lvl>
    <w:lvl w:ilvl="2" w:tplc="0409001B" w:tentative="1">
      <w:start w:val="1"/>
      <w:numFmt w:val="lowerRoman"/>
      <w:lvlText w:val="%3."/>
      <w:lvlJc w:val="right"/>
      <w:pPr>
        <w:ind w:left="735" w:hanging="420"/>
      </w:pPr>
    </w:lvl>
    <w:lvl w:ilvl="3" w:tplc="0409000F" w:tentative="1">
      <w:start w:val="1"/>
      <w:numFmt w:val="decimal"/>
      <w:lvlText w:val="%4."/>
      <w:lvlJc w:val="left"/>
      <w:pPr>
        <w:ind w:left="1155" w:hanging="420"/>
      </w:pPr>
    </w:lvl>
    <w:lvl w:ilvl="4" w:tplc="04090019" w:tentative="1">
      <w:start w:val="1"/>
      <w:numFmt w:val="lowerLetter"/>
      <w:lvlText w:val="%5)"/>
      <w:lvlJc w:val="left"/>
      <w:pPr>
        <w:ind w:left="1575" w:hanging="420"/>
      </w:pPr>
    </w:lvl>
    <w:lvl w:ilvl="5" w:tplc="0409001B" w:tentative="1">
      <w:start w:val="1"/>
      <w:numFmt w:val="lowerRoman"/>
      <w:lvlText w:val="%6."/>
      <w:lvlJc w:val="right"/>
      <w:pPr>
        <w:ind w:left="1995" w:hanging="420"/>
      </w:pPr>
    </w:lvl>
    <w:lvl w:ilvl="6" w:tplc="0409000F" w:tentative="1">
      <w:start w:val="1"/>
      <w:numFmt w:val="decimal"/>
      <w:lvlText w:val="%7."/>
      <w:lvlJc w:val="left"/>
      <w:pPr>
        <w:ind w:left="2415" w:hanging="420"/>
      </w:pPr>
    </w:lvl>
    <w:lvl w:ilvl="7" w:tplc="04090019" w:tentative="1">
      <w:start w:val="1"/>
      <w:numFmt w:val="lowerLetter"/>
      <w:lvlText w:val="%8)"/>
      <w:lvlJc w:val="left"/>
      <w:pPr>
        <w:ind w:left="2835" w:hanging="420"/>
      </w:pPr>
    </w:lvl>
    <w:lvl w:ilvl="8" w:tplc="0409001B" w:tentative="1">
      <w:start w:val="1"/>
      <w:numFmt w:val="lowerRoman"/>
      <w:lvlText w:val="%9."/>
      <w:lvlJc w:val="right"/>
      <w:pPr>
        <w:ind w:left="3255" w:hanging="420"/>
      </w:pPr>
    </w:lvl>
  </w:abstractNum>
  <w:abstractNum w:abstractNumId="2">
    <w:nsid w:val="28EB7E20"/>
    <w:multiLevelType w:val="hybridMultilevel"/>
    <w:tmpl w:val="D4184B96"/>
    <w:lvl w:ilvl="0" w:tplc="D376E4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260739"/>
    <w:multiLevelType w:val="hybridMultilevel"/>
    <w:tmpl w:val="6CEAEF10"/>
    <w:lvl w:ilvl="0" w:tplc="BFCEFAF0">
      <w:start w:val="1"/>
      <w:numFmt w:val="decimal"/>
      <w:lvlText w:val="（%1）"/>
      <w:lvlJc w:val="left"/>
      <w:pPr>
        <w:ind w:left="195" w:hanging="720"/>
      </w:pPr>
      <w:rPr>
        <w:rFonts w:hint="default"/>
      </w:rPr>
    </w:lvl>
    <w:lvl w:ilvl="1" w:tplc="04090019" w:tentative="1">
      <w:start w:val="1"/>
      <w:numFmt w:val="lowerLetter"/>
      <w:lvlText w:val="%2)"/>
      <w:lvlJc w:val="left"/>
      <w:pPr>
        <w:ind w:left="315" w:hanging="420"/>
      </w:pPr>
    </w:lvl>
    <w:lvl w:ilvl="2" w:tplc="0409001B" w:tentative="1">
      <w:start w:val="1"/>
      <w:numFmt w:val="lowerRoman"/>
      <w:lvlText w:val="%3."/>
      <w:lvlJc w:val="right"/>
      <w:pPr>
        <w:ind w:left="735" w:hanging="420"/>
      </w:pPr>
    </w:lvl>
    <w:lvl w:ilvl="3" w:tplc="0409000F" w:tentative="1">
      <w:start w:val="1"/>
      <w:numFmt w:val="decimal"/>
      <w:lvlText w:val="%4."/>
      <w:lvlJc w:val="left"/>
      <w:pPr>
        <w:ind w:left="1155" w:hanging="420"/>
      </w:pPr>
    </w:lvl>
    <w:lvl w:ilvl="4" w:tplc="04090019" w:tentative="1">
      <w:start w:val="1"/>
      <w:numFmt w:val="lowerLetter"/>
      <w:lvlText w:val="%5)"/>
      <w:lvlJc w:val="left"/>
      <w:pPr>
        <w:ind w:left="1575" w:hanging="420"/>
      </w:pPr>
    </w:lvl>
    <w:lvl w:ilvl="5" w:tplc="0409001B" w:tentative="1">
      <w:start w:val="1"/>
      <w:numFmt w:val="lowerRoman"/>
      <w:lvlText w:val="%6."/>
      <w:lvlJc w:val="right"/>
      <w:pPr>
        <w:ind w:left="1995" w:hanging="420"/>
      </w:pPr>
    </w:lvl>
    <w:lvl w:ilvl="6" w:tplc="0409000F" w:tentative="1">
      <w:start w:val="1"/>
      <w:numFmt w:val="decimal"/>
      <w:lvlText w:val="%7."/>
      <w:lvlJc w:val="left"/>
      <w:pPr>
        <w:ind w:left="2415" w:hanging="420"/>
      </w:pPr>
    </w:lvl>
    <w:lvl w:ilvl="7" w:tplc="04090019" w:tentative="1">
      <w:start w:val="1"/>
      <w:numFmt w:val="lowerLetter"/>
      <w:lvlText w:val="%8)"/>
      <w:lvlJc w:val="left"/>
      <w:pPr>
        <w:ind w:left="2835" w:hanging="420"/>
      </w:pPr>
    </w:lvl>
    <w:lvl w:ilvl="8" w:tplc="0409001B" w:tentative="1">
      <w:start w:val="1"/>
      <w:numFmt w:val="lowerRoman"/>
      <w:lvlText w:val="%9."/>
      <w:lvlJc w:val="right"/>
      <w:pPr>
        <w:ind w:left="3255" w:hanging="420"/>
      </w:pPr>
    </w:lvl>
  </w:abstractNum>
  <w:abstractNum w:abstractNumId="4">
    <w:nsid w:val="6288533A"/>
    <w:multiLevelType w:val="hybridMultilevel"/>
    <w:tmpl w:val="A4FCE226"/>
    <w:lvl w:ilvl="0" w:tplc="D08631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831CCC"/>
    <w:multiLevelType w:val="hybridMultilevel"/>
    <w:tmpl w:val="0C76830E"/>
    <w:lvl w:ilvl="0" w:tplc="E1BEB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546"/>
    <w:rsid w:val="0000282C"/>
    <w:rsid w:val="00002D71"/>
    <w:rsid w:val="00003092"/>
    <w:rsid w:val="00004FCB"/>
    <w:rsid w:val="00007F90"/>
    <w:rsid w:val="00011700"/>
    <w:rsid w:val="0001316A"/>
    <w:rsid w:val="000132BC"/>
    <w:rsid w:val="00023169"/>
    <w:rsid w:val="0002390C"/>
    <w:rsid w:val="00025B26"/>
    <w:rsid w:val="000275E5"/>
    <w:rsid w:val="000313DE"/>
    <w:rsid w:val="0003719C"/>
    <w:rsid w:val="00040A83"/>
    <w:rsid w:val="0005706F"/>
    <w:rsid w:val="00057690"/>
    <w:rsid w:val="00060500"/>
    <w:rsid w:val="00061A77"/>
    <w:rsid w:val="000655EB"/>
    <w:rsid w:val="00070022"/>
    <w:rsid w:val="000724F8"/>
    <w:rsid w:val="00072F3F"/>
    <w:rsid w:val="00074764"/>
    <w:rsid w:val="00076FAF"/>
    <w:rsid w:val="00077911"/>
    <w:rsid w:val="000821CE"/>
    <w:rsid w:val="000826E2"/>
    <w:rsid w:val="000874DE"/>
    <w:rsid w:val="000917A6"/>
    <w:rsid w:val="00092DF6"/>
    <w:rsid w:val="00094868"/>
    <w:rsid w:val="0009647F"/>
    <w:rsid w:val="000A0B1B"/>
    <w:rsid w:val="000A3578"/>
    <w:rsid w:val="000A3CFD"/>
    <w:rsid w:val="000A7DAF"/>
    <w:rsid w:val="000B3368"/>
    <w:rsid w:val="000C3029"/>
    <w:rsid w:val="000C5789"/>
    <w:rsid w:val="000D0353"/>
    <w:rsid w:val="000D0E8A"/>
    <w:rsid w:val="000D3EF8"/>
    <w:rsid w:val="000D4782"/>
    <w:rsid w:val="000D6443"/>
    <w:rsid w:val="000D7781"/>
    <w:rsid w:val="000E01EA"/>
    <w:rsid w:val="000E3A4B"/>
    <w:rsid w:val="000E44C9"/>
    <w:rsid w:val="000E6BDF"/>
    <w:rsid w:val="000F29BB"/>
    <w:rsid w:val="000F5AB0"/>
    <w:rsid w:val="001002EB"/>
    <w:rsid w:val="00100857"/>
    <w:rsid w:val="00100974"/>
    <w:rsid w:val="001070D7"/>
    <w:rsid w:val="0011095C"/>
    <w:rsid w:val="00111D19"/>
    <w:rsid w:val="00112137"/>
    <w:rsid w:val="001124DE"/>
    <w:rsid w:val="00113CC2"/>
    <w:rsid w:val="00114EA6"/>
    <w:rsid w:val="00116368"/>
    <w:rsid w:val="001303EC"/>
    <w:rsid w:val="0013170E"/>
    <w:rsid w:val="001346DF"/>
    <w:rsid w:val="00134E71"/>
    <w:rsid w:val="00141D32"/>
    <w:rsid w:val="00150048"/>
    <w:rsid w:val="00157A6F"/>
    <w:rsid w:val="00163F4C"/>
    <w:rsid w:val="00164523"/>
    <w:rsid w:val="00164791"/>
    <w:rsid w:val="001651B8"/>
    <w:rsid w:val="00167907"/>
    <w:rsid w:val="001725A9"/>
    <w:rsid w:val="00173FBF"/>
    <w:rsid w:val="001744EF"/>
    <w:rsid w:val="001745C7"/>
    <w:rsid w:val="00174B80"/>
    <w:rsid w:val="00174EA2"/>
    <w:rsid w:val="001814DF"/>
    <w:rsid w:val="0018311C"/>
    <w:rsid w:val="001A16BB"/>
    <w:rsid w:val="001A1846"/>
    <w:rsid w:val="001A19C1"/>
    <w:rsid w:val="001A24AB"/>
    <w:rsid w:val="001A2E0D"/>
    <w:rsid w:val="001A3F46"/>
    <w:rsid w:val="001A4646"/>
    <w:rsid w:val="001A4A7F"/>
    <w:rsid w:val="001A4CD2"/>
    <w:rsid w:val="001A52E5"/>
    <w:rsid w:val="001A7393"/>
    <w:rsid w:val="001B17A2"/>
    <w:rsid w:val="001B2070"/>
    <w:rsid w:val="001B2B84"/>
    <w:rsid w:val="001B2D5A"/>
    <w:rsid w:val="001C4464"/>
    <w:rsid w:val="001D5BDE"/>
    <w:rsid w:val="001D670A"/>
    <w:rsid w:val="001D672B"/>
    <w:rsid w:val="001E0E29"/>
    <w:rsid w:val="001E165F"/>
    <w:rsid w:val="001E70B9"/>
    <w:rsid w:val="001E7FA2"/>
    <w:rsid w:val="001F1236"/>
    <w:rsid w:val="001F1E3F"/>
    <w:rsid w:val="001F21A2"/>
    <w:rsid w:val="001F360D"/>
    <w:rsid w:val="001F38ED"/>
    <w:rsid w:val="001F6936"/>
    <w:rsid w:val="00200C16"/>
    <w:rsid w:val="0020565A"/>
    <w:rsid w:val="0020684F"/>
    <w:rsid w:val="00207597"/>
    <w:rsid w:val="00211483"/>
    <w:rsid w:val="002121BE"/>
    <w:rsid w:val="0021459E"/>
    <w:rsid w:val="00216E4C"/>
    <w:rsid w:val="00220799"/>
    <w:rsid w:val="00220F82"/>
    <w:rsid w:val="0022364B"/>
    <w:rsid w:val="002238DC"/>
    <w:rsid w:val="00225100"/>
    <w:rsid w:val="0022609F"/>
    <w:rsid w:val="00230603"/>
    <w:rsid w:val="00232E4B"/>
    <w:rsid w:val="00232F59"/>
    <w:rsid w:val="002352A6"/>
    <w:rsid w:val="0023676D"/>
    <w:rsid w:val="0024175D"/>
    <w:rsid w:val="00246883"/>
    <w:rsid w:val="00246A5B"/>
    <w:rsid w:val="00247164"/>
    <w:rsid w:val="002611BB"/>
    <w:rsid w:val="002724F6"/>
    <w:rsid w:val="00273166"/>
    <w:rsid w:val="002776B8"/>
    <w:rsid w:val="00277FC8"/>
    <w:rsid w:val="002800CE"/>
    <w:rsid w:val="00284928"/>
    <w:rsid w:val="00285566"/>
    <w:rsid w:val="00286258"/>
    <w:rsid w:val="00292764"/>
    <w:rsid w:val="00293D72"/>
    <w:rsid w:val="002A1AAC"/>
    <w:rsid w:val="002A2B6A"/>
    <w:rsid w:val="002A3EAC"/>
    <w:rsid w:val="002A5BFD"/>
    <w:rsid w:val="002A627F"/>
    <w:rsid w:val="002A795A"/>
    <w:rsid w:val="002B119A"/>
    <w:rsid w:val="002B283F"/>
    <w:rsid w:val="002B3572"/>
    <w:rsid w:val="002B6A9F"/>
    <w:rsid w:val="002B74A1"/>
    <w:rsid w:val="002C2E92"/>
    <w:rsid w:val="002C4004"/>
    <w:rsid w:val="002C703A"/>
    <w:rsid w:val="002C7117"/>
    <w:rsid w:val="002D06FB"/>
    <w:rsid w:val="002D545A"/>
    <w:rsid w:val="002D63EC"/>
    <w:rsid w:val="002D6798"/>
    <w:rsid w:val="002D68BF"/>
    <w:rsid w:val="002D68DC"/>
    <w:rsid w:val="002E6C86"/>
    <w:rsid w:val="002E7CFF"/>
    <w:rsid w:val="002F0C1D"/>
    <w:rsid w:val="002F30EB"/>
    <w:rsid w:val="002F3724"/>
    <w:rsid w:val="002F5215"/>
    <w:rsid w:val="002F59BD"/>
    <w:rsid w:val="00301D27"/>
    <w:rsid w:val="003052C0"/>
    <w:rsid w:val="003059CC"/>
    <w:rsid w:val="00305E5B"/>
    <w:rsid w:val="00306845"/>
    <w:rsid w:val="00313793"/>
    <w:rsid w:val="00317C17"/>
    <w:rsid w:val="00321435"/>
    <w:rsid w:val="003224BB"/>
    <w:rsid w:val="00323B42"/>
    <w:rsid w:val="003266BB"/>
    <w:rsid w:val="00330FF6"/>
    <w:rsid w:val="003321DA"/>
    <w:rsid w:val="003347AB"/>
    <w:rsid w:val="003366D6"/>
    <w:rsid w:val="00336E8A"/>
    <w:rsid w:val="00337631"/>
    <w:rsid w:val="0034004B"/>
    <w:rsid w:val="003430E6"/>
    <w:rsid w:val="00345BFB"/>
    <w:rsid w:val="00355B0B"/>
    <w:rsid w:val="00356645"/>
    <w:rsid w:val="00361DA8"/>
    <w:rsid w:val="00362525"/>
    <w:rsid w:val="003636A3"/>
    <w:rsid w:val="003717ED"/>
    <w:rsid w:val="0037689A"/>
    <w:rsid w:val="00380F77"/>
    <w:rsid w:val="00385F2A"/>
    <w:rsid w:val="003921AE"/>
    <w:rsid w:val="00395379"/>
    <w:rsid w:val="00396877"/>
    <w:rsid w:val="00397D9D"/>
    <w:rsid w:val="003A1DD5"/>
    <w:rsid w:val="003A48E4"/>
    <w:rsid w:val="003A5BDF"/>
    <w:rsid w:val="003B36EE"/>
    <w:rsid w:val="003B5199"/>
    <w:rsid w:val="003B70B5"/>
    <w:rsid w:val="003C012E"/>
    <w:rsid w:val="003C7836"/>
    <w:rsid w:val="003D122F"/>
    <w:rsid w:val="003D520C"/>
    <w:rsid w:val="003D55CD"/>
    <w:rsid w:val="003D7F09"/>
    <w:rsid w:val="003E0E51"/>
    <w:rsid w:val="003E22FE"/>
    <w:rsid w:val="003E4200"/>
    <w:rsid w:val="003F340F"/>
    <w:rsid w:val="003F7221"/>
    <w:rsid w:val="003F7EB9"/>
    <w:rsid w:val="00401240"/>
    <w:rsid w:val="004120B4"/>
    <w:rsid w:val="00412C7C"/>
    <w:rsid w:val="00412D6D"/>
    <w:rsid w:val="00413CD8"/>
    <w:rsid w:val="004156D7"/>
    <w:rsid w:val="0041771D"/>
    <w:rsid w:val="00420545"/>
    <w:rsid w:val="00423469"/>
    <w:rsid w:val="0042565E"/>
    <w:rsid w:val="00425FB1"/>
    <w:rsid w:val="00427339"/>
    <w:rsid w:val="00430206"/>
    <w:rsid w:val="004308A0"/>
    <w:rsid w:val="00434B10"/>
    <w:rsid w:val="00435087"/>
    <w:rsid w:val="0044385A"/>
    <w:rsid w:val="004502AC"/>
    <w:rsid w:val="004540AD"/>
    <w:rsid w:val="004546D7"/>
    <w:rsid w:val="00455973"/>
    <w:rsid w:val="00461B7B"/>
    <w:rsid w:val="0046339D"/>
    <w:rsid w:val="00465FA5"/>
    <w:rsid w:val="0047322B"/>
    <w:rsid w:val="00475A53"/>
    <w:rsid w:val="004770C7"/>
    <w:rsid w:val="0047771F"/>
    <w:rsid w:val="004833A9"/>
    <w:rsid w:val="004849E9"/>
    <w:rsid w:val="004859DB"/>
    <w:rsid w:val="00492DC0"/>
    <w:rsid w:val="004937DC"/>
    <w:rsid w:val="0049404F"/>
    <w:rsid w:val="00495934"/>
    <w:rsid w:val="004959A4"/>
    <w:rsid w:val="00497630"/>
    <w:rsid w:val="004A77A8"/>
    <w:rsid w:val="004B0361"/>
    <w:rsid w:val="004B28D7"/>
    <w:rsid w:val="004B447B"/>
    <w:rsid w:val="004B451C"/>
    <w:rsid w:val="004B4ECA"/>
    <w:rsid w:val="004B5D37"/>
    <w:rsid w:val="004B6BD7"/>
    <w:rsid w:val="004C16F3"/>
    <w:rsid w:val="004C47F0"/>
    <w:rsid w:val="004C73BD"/>
    <w:rsid w:val="004D44B0"/>
    <w:rsid w:val="004D5762"/>
    <w:rsid w:val="004E0E1E"/>
    <w:rsid w:val="004E4339"/>
    <w:rsid w:val="004F3DF9"/>
    <w:rsid w:val="004F62E8"/>
    <w:rsid w:val="004F6515"/>
    <w:rsid w:val="004F7AB9"/>
    <w:rsid w:val="004F7ECC"/>
    <w:rsid w:val="00504610"/>
    <w:rsid w:val="0050496D"/>
    <w:rsid w:val="00504AED"/>
    <w:rsid w:val="00506C9B"/>
    <w:rsid w:val="005073F1"/>
    <w:rsid w:val="00507A98"/>
    <w:rsid w:val="00507B70"/>
    <w:rsid w:val="00512482"/>
    <w:rsid w:val="005132B6"/>
    <w:rsid w:val="00515C50"/>
    <w:rsid w:val="00522460"/>
    <w:rsid w:val="00530D1D"/>
    <w:rsid w:val="005311CD"/>
    <w:rsid w:val="0053288D"/>
    <w:rsid w:val="005356F1"/>
    <w:rsid w:val="00536B21"/>
    <w:rsid w:val="00537BDF"/>
    <w:rsid w:val="00540C8A"/>
    <w:rsid w:val="00541258"/>
    <w:rsid w:val="00541ABA"/>
    <w:rsid w:val="00542354"/>
    <w:rsid w:val="00542814"/>
    <w:rsid w:val="0054293D"/>
    <w:rsid w:val="00543A73"/>
    <w:rsid w:val="00545056"/>
    <w:rsid w:val="00545F12"/>
    <w:rsid w:val="005467DE"/>
    <w:rsid w:val="00553C87"/>
    <w:rsid w:val="00554E9C"/>
    <w:rsid w:val="00561CD8"/>
    <w:rsid w:val="00562223"/>
    <w:rsid w:val="00563B35"/>
    <w:rsid w:val="00563CD8"/>
    <w:rsid w:val="00564710"/>
    <w:rsid w:val="0056707C"/>
    <w:rsid w:val="00567E1F"/>
    <w:rsid w:val="00570C51"/>
    <w:rsid w:val="00571630"/>
    <w:rsid w:val="00574A8F"/>
    <w:rsid w:val="005757EF"/>
    <w:rsid w:val="00576E6F"/>
    <w:rsid w:val="005776CF"/>
    <w:rsid w:val="005807D4"/>
    <w:rsid w:val="00582F8C"/>
    <w:rsid w:val="005830F2"/>
    <w:rsid w:val="0058313B"/>
    <w:rsid w:val="00586E68"/>
    <w:rsid w:val="00587441"/>
    <w:rsid w:val="00590282"/>
    <w:rsid w:val="005944D0"/>
    <w:rsid w:val="00594746"/>
    <w:rsid w:val="005951A3"/>
    <w:rsid w:val="005952BD"/>
    <w:rsid w:val="0059607E"/>
    <w:rsid w:val="005A056A"/>
    <w:rsid w:val="005A2B5B"/>
    <w:rsid w:val="005A45F0"/>
    <w:rsid w:val="005C08B7"/>
    <w:rsid w:val="005C0B05"/>
    <w:rsid w:val="005C4B73"/>
    <w:rsid w:val="005C550A"/>
    <w:rsid w:val="005C650A"/>
    <w:rsid w:val="005D3880"/>
    <w:rsid w:val="005D4976"/>
    <w:rsid w:val="005E0D5E"/>
    <w:rsid w:val="005E24A2"/>
    <w:rsid w:val="005E306E"/>
    <w:rsid w:val="005E32D3"/>
    <w:rsid w:val="005F0ECD"/>
    <w:rsid w:val="005F122C"/>
    <w:rsid w:val="005F1CE6"/>
    <w:rsid w:val="00604B49"/>
    <w:rsid w:val="006066A0"/>
    <w:rsid w:val="006137DD"/>
    <w:rsid w:val="00620423"/>
    <w:rsid w:val="006205C3"/>
    <w:rsid w:val="0062379A"/>
    <w:rsid w:val="00624353"/>
    <w:rsid w:val="0062576A"/>
    <w:rsid w:val="00632ACE"/>
    <w:rsid w:val="006347EA"/>
    <w:rsid w:val="00641032"/>
    <w:rsid w:val="006447CF"/>
    <w:rsid w:val="006466AD"/>
    <w:rsid w:val="00651B30"/>
    <w:rsid w:val="006545B0"/>
    <w:rsid w:val="00661CB7"/>
    <w:rsid w:val="00662877"/>
    <w:rsid w:val="00663309"/>
    <w:rsid w:val="006665B7"/>
    <w:rsid w:val="00667886"/>
    <w:rsid w:val="006679AE"/>
    <w:rsid w:val="00675448"/>
    <w:rsid w:val="006773D6"/>
    <w:rsid w:val="00680156"/>
    <w:rsid w:val="00682552"/>
    <w:rsid w:val="006853D3"/>
    <w:rsid w:val="00690E68"/>
    <w:rsid w:val="00693A6D"/>
    <w:rsid w:val="00697621"/>
    <w:rsid w:val="00697FE2"/>
    <w:rsid w:val="006A03D7"/>
    <w:rsid w:val="006A0860"/>
    <w:rsid w:val="006A32B0"/>
    <w:rsid w:val="006A4126"/>
    <w:rsid w:val="006A4201"/>
    <w:rsid w:val="006A7420"/>
    <w:rsid w:val="006B14BA"/>
    <w:rsid w:val="006B25A4"/>
    <w:rsid w:val="006B6764"/>
    <w:rsid w:val="006C447C"/>
    <w:rsid w:val="006C6427"/>
    <w:rsid w:val="006D2E84"/>
    <w:rsid w:val="006D3F8E"/>
    <w:rsid w:val="006D71C2"/>
    <w:rsid w:val="006E75E9"/>
    <w:rsid w:val="006F27D4"/>
    <w:rsid w:val="006F5F52"/>
    <w:rsid w:val="00700C2A"/>
    <w:rsid w:val="00704E56"/>
    <w:rsid w:val="00705B3A"/>
    <w:rsid w:val="00711C9B"/>
    <w:rsid w:val="00712BBB"/>
    <w:rsid w:val="00713DDA"/>
    <w:rsid w:val="00714161"/>
    <w:rsid w:val="0071541C"/>
    <w:rsid w:val="007179E6"/>
    <w:rsid w:val="00722C73"/>
    <w:rsid w:val="00731C46"/>
    <w:rsid w:val="00734DAB"/>
    <w:rsid w:val="00741B1D"/>
    <w:rsid w:val="0074255C"/>
    <w:rsid w:val="00745E2E"/>
    <w:rsid w:val="007504F7"/>
    <w:rsid w:val="00750A51"/>
    <w:rsid w:val="00752644"/>
    <w:rsid w:val="00753351"/>
    <w:rsid w:val="007578AE"/>
    <w:rsid w:val="00761FE4"/>
    <w:rsid w:val="00762672"/>
    <w:rsid w:val="00762CE6"/>
    <w:rsid w:val="00763F84"/>
    <w:rsid w:val="007662CF"/>
    <w:rsid w:val="00766C04"/>
    <w:rsid w:val="007712BD"/>
    <w:rsid w:val="00771950"/>
    <w:rsid w:val="0077296E"/>
    <w:rsid w:val="00774FCD"/>
    <w:rsid w:val="00775143"/>
    <w:rsid w:val="00775BC3"/>
    <w:rsid w:val="00777967"/>
    <w:rsid w:val="00777D41"/>
    <w:rsid w:val="00784602"/>
    <w:rsid w:val="00790B25"/>
    <w:rsid w:val="00796392"/>
    <w:rsid w:val="00796C33"/>
    <w:rsid w:val="00796FD4"/>
    <w:rsid w:val="007A012F"/>
    <w:rsid w:val="007A0CE5"/>
    <w:rsid w:val="007A2AF9"/>
    <w:rsid w:val="007A532E"/>
    <w:rsid w:val="007B2E43"/>
    <w:rsid w:val="007B3D73"/>
    <w:rsid w:val="007B504D"/>
    <w:rsid w:val="007B5E69"/>
    <w:rsid w:val="007B62B7"/>
    <w:rsid w:val="007B6463"/>
    <w:rsid w:val="007B7A33"/>
    <w:rsid w:val="007C3339"/>
    <w:rsid w:val="007C564B"/>
    <w:rsid w:val="007C76FD"/>
    <w:rsid w:val="007D0BB8"/>
    <w:rsid w:val="007D328D"/>
    <w:rsid w:val="007D32E4"/>
    <w:rsid w:val="007D4B53"/>
    <w:rsid w:val="007D511E"/>
    <w:rsid w:val="007D7B73"/>
    <w:rsid w:val="007E341E"/>
    <w:rsid w:val="007E39FA"/>
    <w:rsid w:val="007F217D"/>
    <w:rsid w:val="007F21D8"/>
    <w:rsid w:val="007F2ABC"/>
    <w:rsid w:val="007F3AF9"/>
    <w:rsid w:val="007F4CCF"/>
    <w:rsid w:val="0080174B"/>
    <w:rsid w:val="0080421D"/>
    <w:rsid w:val="00811554"/>
    <w:rsid w:val="008236D4"/>
    <w:rsid w:val="00823C84"/>
    <w:rsid w:val="00831AC8"/>
    <w:rsid w:val="008379AC"/>
    <w:rsid w:val="008379E7"/>
    <w:rsid w:val="00841676"/>
    <w:rsid w:val="0084271D"/>
    <w:rsid w:val="00842736"/>
    <w:rsid w:val="00846BE1"/>
    <w:rsid w:val="00850BFD"/>
    <w:rsid w:val="008530C7"/>
    <w:rsid w:val="008604F4"/>
    <w:rsid w:val="00861898"/>
    <w:rsid w:val="00861C23"/>
    <w:rsid w:val="00861E1B"/>
    <w:rsid w:val="0086568F"/>
    <w:rsid w:val="00865E67"/>
    <w:rsid w:val="00866F46"/>
    <w:rsid w:val="00870A0C"/>
    <w:rsid w:val="00882B08"/>
    <w:rsid w:val="008836D3"/>
    <w:rsid w:val="008851AC"/>
    <w:rsid w:val="00890D34"/>
    <w:rsid w:val="00891E8E"/>
    <w:rsid w:val="00892E28"/>
    <w:rsid w:val="00893F41"/>
    <w:rsid w:val="008949A2"/>
    <w:rsid w:val="008A34B6"/>
    <w:rsid w:val="008A47F7"/>
    <w:rsid w:val="008A6E0B"/>
    <w:rsid w:val="008B0585"/>
    <w:rsid w:val="008C08DC"/>
    <w:rsid w:val="008D0C2E"/>
    <w:rsid w:val="008D3DAA"/>
    <w:rsid w:val="008D4898"/>
    <w:rsid w:val="008D645F"/>
    <w:rsid w:val="008D7DF4"/>
    <w:rsid w:val="008E0E60"/>
    <w:rsid w:val="008E7A32"/>
    <w:rsid w:val="008F1D40"/>
    <w:rsid w:val="008F41BE"/>
    <w:rsid w:val="008F5581"/>
    <w:rsid w:val="008F58F2"/>
    <w:rsid w:val="008F6EAA"/>
    <w:rsid w:val="008F7B7C"/>
    <w:rsid w:val="00903B5F"/>
    <w:rsid w:val="00905339"/>
    <w:rsid w:val="00906093"/>
    <w:rsid w:val="009061C8"/>
    <w:rsid w:val="00907DAA"/>
    <w:rsid w:val="009125D3"/>
    <w:rsid w:val="0091368C"/>
    <w:rsid w:val="00913D5F"/>
    <w:rsid w:val="009160CF"/>
    <w:rsid w:val="0091657A"/>
    <w:rsid w:val="00917B79"/>
    <w:rsid w:val="0092336E"/>
    <w:rsid w:val="00926EAC"/>
    <w:rsid w:val="00927BF9"/>
    <w:rsid w:val="009363D3"/>
    <w:rsid w:val="00936480"/>
    <w:rsid w:val="00936F55"/>
    <w:rsid w:val="00940257"/>
    <w:rsid w:val="00940D50"/>
    <w:rsid w:val="009424DF"/>
    <w:rsid w:val="00943ADC"/>
    <w:rsid w:val="00945221"/>
    <w:rsid w:val="009458B9"/>
    <w:rsid w:val="00945B22"/>
    <w:rsid w:val="0095061C"/>
    <w:rsid w:val="0095492C"/>
    <w:rsid w:val="009569FC"/>
    <w:rsid w:val="00957B9C"/>
    <w:rsid w:val="00962221"/>
    <w:rsid w:val="009641BA"/>
    <w:rsid w:val="00972621"/>
    <w:rsid w:val="00972BF7"/>
    <w:rsid w:val="00973D36"/>
    <w:rsid w:val="00973EF4"/>
    <w:rsid w:val="009811B0"/>
    <w:rsid w:val="009912F9"/>
    <w:rsid w:val="00991CBF"/>
    <w:rsid w:val="00995226"/>
    <w:rsid w:val="00996A43"/>
    <w:rsid w:val="009A3A6E"/>
    <w:rsid w:val="009A3B94"/>
    <w:rsid w:val="009A69FC"/>
    <w:rsid w:val="009A6AE9"/>
    <w:rsid w:val="009A6E92"/>
    <w:rsid w:val="009A7943"/>
    <w:rsid w:val="009A7C2F"/>
    <w:rsid w:val="009B4B8E"/>
    <w:rsid w:val="009B5725"/>
    <w:rsid w:val="009B5FFA"/>
    <w:rsid w:val="009C4371"/>
    <w:rsid w:val="009C71DC"/>
    <w:rsid w:val="009D00F4"/>
    <w:rsid w:val="009D08C5"/>
    <w:rsid w:val="009D6DBE"/>
    <w:rsid w:val="009E1533"/>
    <w:rsid w:val="009E2B2B"/>
    <w:rsid w:val="009E35D8"/>
    <w:rsid w:val="009F08B4"/>
    <w:rsid w:val="009F3484"/>
    <w:rsid w:val="009F4B3D"/>
    <w:rsid w:val="009F5615"/>
    <w:rsid w:val="00A0254B"/>
    <w:rsid w:val="00A04446"/>
    <w:rsid w:val="00A10086"/>
    <w:rsid w:val="00A166F6"/>
    <w:rsid w:val="00A20A3D"/>
    <w:rsid w:val="00A24FB5"/>
    <w:rsid w:val="00A25DD1"/>
    <w:rsid w:val="00A263CA"/>
    <w:rsid w:val="00A3474C"/>
    <w:rsid w:val="00A37881"/>
    <w:rsid w:val="00A37F10"/>
    <w:rsid w:val="00A413B4"/>
    <w:rsid w:val="00A41678"/>
    <w:rsid w:val="00A41687"/>
    <w:rsid w:val="00A417DB"/>
    <w:rsid w:val="00A454F5"/>
    <w:rsid w:val="00A458F9"/>
    <w:rsid w:val="00A51279"/>
    <w:rsid w:val="00A512FB"/>
    <w:rsid w:val="00A5184C"/>
    <w:rsid w:val="00A52B34"/>
    <w:rsid w:val="00A53AAB"/>
    <w:rsid w:val="00A543FA"/>
    <w:rsid w:val="00A57A57"/>
    <w:rsid w:val="00A60938"/>
    <w:rsid w:val="00A6268D"/>
    <w:rsid w:val="00A657FB"/>
    <w:rsid w:val="00A73D5B"/>
    <w:rsid w:val="00A741A2"/>
    <w:rsid w:val="00A7728D"/>
    <w:rsid w:val="00A868F5"/>
    <w:rsid w:val="00AA11B5"/>
    <w:rsid w:val="00AA62C9"/>
    <w:rsid w:val="00AA6AEF"/>
    <w:rsid w:val="00AA6EC9"/>
    <w:rsid w:val="00AB0166"/>
    <w:rsid w:val="00AB0797"/>
    <w:rsid w:val="00AB0C57"/>
    <w:rsid w:val="00AB16C4"/>
    <w:rsid w:val="00AB2041"/>
    <w:rsid w:val="00AB3D21"/>
    <w:rsid w:val="00AB5201"/>
    <w:rsid w:val="00AC087E"/>
    <w:rsid w:val="00AC5B96"/>
    <w:rsid w:val="00AD086D"/>
    <w:rsid w:val="00AD08BC"/>
    <w:rsid w:val="00AD319A"/>
    <w:rsid w:val="00AD77CD"/>
    <w:rsid w:val="00AD7882"/>
    <w:rsid w:val="00AD7A0F"/>
    <w:rsid w:val="00AE183B"/>
    <w:rsid w:val="00AE4B9B"/>
    <w:rsid w:val="00AE7219"/>
    <w:rsid w:val="00AF2F46"/>
    <w:rsid w:val="00AF5BC4"/>
    <w:rsid w:val="00AF5FFC"/>
    <w:rsid w:val="00AF7546"/>
    <w:rsid w:val="00AF7F10"/>
    <w:rsid w:val="00B00C16"/>
    <w:rsid w:val="00B0217A"/>
    <w:rsid w:val="00B10C46"/>
    <w:rsid w:val="00B1145C"/>
    <w:rsid w:val="00B179E9"/>
    <w:rsid w:val="00B201AA"/>
    <w:rsid w:val="00B24CBB"/>
    <w:rsid w:val="00B3127A"/>
    <w:rsid w:val="00B31624"/>
    <w:rsid w:val="00B33C36"/>
    <w:rsid w:val="00B4573E"/>
    <w:rsid w:val="00B46733"/>
    <w:rsid w:val="00B46FFE"/>
    <w:rsid w:val="00B477BA"/>
    <w:rsid w:val="00B50ECA"/>
    <w:rsid w:val="00B540B2"/>
    <w:rsid w:val="00B54A94"/>
    <w:rsid w:val="00B54BCD"/>
    <w:rsid w:val="00B61B07"/>
    <w:rsid w:val="00B6633B"/>
    <w:rsid w:val="00B6635B"/>
    <w:rsid w:val="00B70881"/>
    <w:rsid w:val="00B71074"/>
    <w:rsid w:val="00B74D5B"/>
    <w:rsid w:val="00B76B11"/>
    <w:rsid w:val="00B77F40"/>
    <w:rsid w:val="00B80F28"/>
    <w:rsid w:val="00B87F89"/>
    <w:rsid w:val="00B93472"/>
    <w:rsid w:val="00B94F17"/>
    <w:rsid w:val="00BA3D1B"/>
    <w:rsid w:val="00BA5386"/>
    <w:rsid w:val="00BA6D90"/>
    <w:rsid w:val="00BB3DB4"/>
    <w:rsid w:val="00BC2277"/>
    <w:rsid w:val="00BC762B"/>
    <w:rsid w:val="00BD1196"/>
    <w:rsid w:val="00BD12DD"/>
    <w:rsid w:val="00BD7C5A"/>
    <w:rsid w:val="00BE5969"/>
    <w:rsid w:val="00BE69A2"/>
    <w:rsid w:val="00BE7C33"/>
    <w:rsid w:val="00BF0261"/>
    <w:rsid w:val="00BF2957"/>
    <w:rsid w:val="00BF32B7"/>
    <w:rsid w:val="00BF36D3"/>
    <w:rsid w:val="00BF4FD6"/>
    <w:rsid w:val="00C005C0"/>
    <w:rsid w:val="00C0190F"/>
    <w:rsid w:val="00C0384F"/>
    <w:rsid w:val="00C0505E"/>
    <w:rsid w:val="00C07F6B"/>
    <w:rsid w:val="00C10386"/>
    <w:rsid w:val="00C110BB"/>
    <w:rsid w:val="00C11397"/>
    <w:rsid w:val="00C15BD1"/>
    <w:rsid w:val="00C22021"/>
    <w:rsid w:val="00C3502F"/>
    <w:rsid w:val="00C36724"/>
    <w:rsid w:val="00C40A2C"/>
    <w:rsid w:val="00C42F05"/>
    <w:rsid w:val="00C450AA"/>
    <w:rsid w:val="00C538D8"/>
    <w:rsid w:val="00C57F63"/>
    <w:rsid w:val="00C638CA"/>
    <w:rsid w:val="00C65E14"/>
    <w:rsid w:val="00C67D53"/>
    <w:rsid w:val="00C72D89"/>
    <w:rsid w:val="00C760BD"/>
    <w:rsid w:val="00C773BA"/>
    <w:rsid w:val="00C808F5"/>
    <w:rsid w:val="00C91ADF"/>
    <w:rsid w:val="00CA0E15"/>
    <w:rsid w:val="00CA1053"/>
    <w:rsid w:val="00CA1AAA"/>
    <w:rsid w:val="00CA2E52"/>
    <w:rsid w:val="00CA3320"/>
    <w:rsid w:val="00CA77EE"/>
    <w:rsid w:val="00CB364C"/>
    <w:rsid w:val="00CC2867"/>
    <w:rsid w:val="00CC688C"/>
    <w:rsid w:val="00CD3BE7"/>
    <w:rsid w:val="00CD45D0"/>
    <w:rsid w:val="00CD5E9B"/>
    <w:rsid w:val="00CD6BED"/>
    <w:rsid w:val="00CE28F1"/>
    <w:rsid w:val="00CE60AD"/>
    <w:rsid w:val="00CE6EA5"/>
    <w:rsid w:val="00CE7D8D"/>
    <w:rsid w:val="00CF00FD"/>
    <w:rsid w:val="00CF2825"/>
    <w:rsid w:val="00D029A6"/>
    <w:rsid w:val="00D0325F"/>
    <w:rsid w:val="00D033EC"/>
    <w:rsid w:val="00D03CC7"/>
    <w:rsid w:val="00D043DA"/>
    <w:rsid w:val="00D105C4"/>
    <w:rsid w:val="00D108E2"/>
    <w:rsid w:val="00D1126B"/>
    <w:rsid w:val="00D15C30"/>
    <w:rsid w:val="00D164FD"/>
    <w:rsid w:val="00D172B3"/>
    <w:rsid w:val="00D208C5"/>
    <w:rsid w:val="00D21751"/>
    <w:rsid w:val="00D2727E"/>
    <w:rsid w:val="00D277BA"/>
    <w:rsid w:val="00D31D6E"/>
    <w:rsid w:val="00D322F0"/>
    <w:rsid w:val="00D335D0"/>
    <w:rsid w:val="00D338CD"/>
    <w:rsid w:val="00D339F4"/>
    <w:rsid w:val="00D33FC6"/>
    <w:rsid w:val="00D37FE6"/>
    <w:rsid w:val="00D64619"/>
    <w:rsid w:val="00D64E0F"/>
    <w:rsid w:val="00D6607A"/>
    <w:rsid w:val="00D66464"/>
    <w:rsid w:val="00D73DB2"/>
    <w:rsid w:val="00D76A76"/>
    <w:rsid w:val="00D839E2"/>
    <w:rsid w:val="00D83BBE"/>
    <w:rsid w:val="00D8412F"/>
    <w:rsid w:val="00D8522A"/>
    <w:rsid w:val="00D90D1F"/>
    <w:rsid w:val="00D91016"/>
    <w:rsid w:val="00D91EFD"/>
    <w:rsid w:val="00D934C9"/>
    <w:rsid w:val="00D93784"/>
    <w:rsid w:val="00D95629"/>
    <w:rsid w:val="00DA1185"/>
    <w:rsid w:val="00DA1CFE"/>
    <w:rsid w:val="00DA2AAD"/>
    <w:rsid w:val="00DA583B"/>
    <w:rsid w:val="00DA7EDC"/>
    <w:rsid w:val="00DB08D1"/>
    <w:rsid w:val="00DB4920"/>
    <w:rsid w:val="00DC50A7"/>
    <w:rsid w:val="00DC5848"/>
    <w:rsid w:val="00DD1158"/>
    <w:rsid w:val="00DD208A"/>
    <w:rsid w:val="00DE0771"/>
    <w:rsid w:val="00DE0C7D"/>
    <w:rsid w:val="00DE1BA8"/>
    <w:rsid w:val="00DE6EB7"/>
    <w:rsid w:val="00DE7F73"/>
    <w:rsid w:val="00DF26CF"/>
    <w:rsid w:val="00DF4D60"/>
    <w:rsid w:val="00DF4FE4"/>
    <w:rsid w:val="00E03936"/>
    <w:rsid w:val="00E04A43"/>
    <w:rsid w:val="00E04B48"/>
    <w:rsid w:val="00E052C4"/>
    <w:rsid w:val="00E052E1"/>
    <w:rsid w:val="00E06B3A"/>
    <w:rsid w:val="00E07DB1"/>
    <w:rsid w:val="00E10BCE"/>
    <w:rsid w:val="00E124AA"/>
    <w:rsid w:val="00E226E4"/>
    <w:rsid w:val="00E22C83"/>
    <w:rsid w:val="00E2520F"/>
    <w:rsid w:val="00E31DFD"/>
    <w:rsid w:val="00E31EEC"/>
    <w:rsid w:val="00E34443"/>
    <w:rsid w:val="00E41905"/>
    <w:rsid w:val="00E43D90"/>
    <w:rsid w:val="00E44EE3"/>
    <w:rsid w:val="00E45F41"/>
    <w:rsid w:val="00E47C24"/>
    <w:rsid w:val="00E5052B"/>
    <w:rsid w:val="00E53454"/>
    <w:rsid w:val="00E611A3"/>
    <w:rsid w:val="00E61862"/>
    <w:rsid w:val="00E70070"/>
    <w:rsid w:val="00E736BE"/>
    <w:rsid w:val="00E76A5B"/>
    <w:rsid w:val="00E776D2"/>
    <w:rsid w:val="00E824CF"/>
    <w:rsid w:val="00E86501"/>
    <w:rsid w:val="00E9022B"/>
    <w:rsid w:val="00E919C9"/>
    <w:rsid w:val="00E92721"/>
    <w:rsid w:val="00E9448A"/>
    <w:rsid w:val="00E9664D"/>
    <w:rsid w:val="00EA35A9"/>
    <w:rsid w:val="00EB24D2"/>
    <w:rsid w:val="00EB25FD"/>
    <w:rsid w:val="00EC6616"/>
    <w:rsid w:val="00ED323B"/>
    <w:rsid w:val="00ED5CDA"/>
    <w:rsid w:val="00ED5D05"/>
    <w:rsid w:val="00ED738F"/>
    <w:rsid w:val="00EE105E"/>
    <w:rsid w:val="00EE12EA"/>
    <w:rsid w:val="00EF1999"/>
    <w:rsid w:val="00EF49A1"/>
    <w:rsid w:val="00EF5C23"/>
    <w:rsid w:val="00F01978"/>
    <w:rsid w:val="00F07EC0"/>
    <w:rsid w:val="00F126E3"/>
    <w:rsid w:val="00F146CD"/>
    <w:rsid w:val="00F2042C"/>
    <w:rsid w:val="00F2232D"/>
    <w:rsid w:val="00F23D27"/>
    <w:rsid w:val="00F27DDE"/>
    <w:rsid w:val="00F300F5"/>
    <w:rsid w:val="00F319B9"/>
    <w:rsid w:val="00F3210E"/>
    <w:rsid w:val="00F32FFE"/>
    <w:rsid w:val="00F35E8E"/>
    <w:rsid w:val="00F412D0"/>
    <w:rsid w:val="00F43854"/>
    <w:rsid w:val="00F45ABC"/>
    <w:rsid w:val="00F473B7"/>
    <w:rsid w:val="00F62861"/>
    <w:rsid w:val="00F63FBD"/>
    <w:rsid w:val="00F64FEC"/>
    <w:rsid w:val="00F6702A"/>
    <w:rsid w:val="00F70361"/>
    <w:rsid w:val="00F8167E"/>
    <w:rsid w:val="00F873E7"/>
    <w:rsid w:val="00F877AE"/>
    <w:rsid w:val="00F90B60"/>
    <w:rsid w:val="00F92B03"/>
    <w:rsid w:val="00FA043F"/>
    <w:rsid w:val="00FA49AF"/>
    <w:rsid w:val="00FB5169"/>
    <w:rsid w:val="00FB778D"/>
    <w:rsid w:val="00FC1374"/>
    <w:rsid w:val="00FC4587"/>
    <w:rsid w:val="00FC6582"/>
    <w:rsid w:val="00FD358F"/>
    <w:rsid w:val="00FE7F8C"/>
    <w:rsid w:val="00FF06D3"/>
    <w:rsid w:val="00FF07E5"/>
    <w:rsid w:val="00FF2C78"/>
    <w:rsid w:val="00FF68B8"/>
    <w:rsid w:val="00FF6E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2"/>
        <o:r id="V:Rule2" type="connector" idref="#AutoShape 11"/>
      </o:rules>
    </o:shapelayout>
  </w:shapeDefaults>
  <w:decimalSymbol w:val="."/>
  <w:listSeparator w:val=","/>
  <w15:docId w15:val="{EE827584-DC01-478D-AF3B-8FBA6CA3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46"/>
    <w:pPr>
      <w:widowControl w:val="0"/>
      <w:jc w:val="both"/>
    </w:pPr>
    <w:rPr>
      <w:rFonts w:ascii="Times New Roman" w:eastAsia="宋体" w:hAnsi="Times New Roman" w:cs="Times New Roman"/>
      <w:szCs w:val="24"/>
    </w:rPr>
  </w:style>
  <w:style w:type="paragraph" w:styleId="1">
    <w:name w:val="heading 1"/>
    <w:basedOn w:val="a"/>
    <w:next w:val="a"/>
    <w:link w:val="1Char"/>
    <w:uiPriority w:val="1"/>
    <w:qFormat/>
    <w:rsid w:val="00DA583B"/>
    <w:pPr>
      <w:ind w:left="942"/>
      <w:outlineLvl w:val="0"/>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022"/>
    <w:pPr>
      <w:ind w:firstLineChars="200" w:firstLine="420"/>
    </w:pPr>
  </w:style>
  <w:style w:type="character" w:styleId="a4">
    <w:name w:val="annotation reference"/>
    <w:basedOn w:val="a0"/>
    <w:uiPriority w:val="99"/>
    <w:semiHidden/>
    <w:unhideWhenUsed/>
    <w:rsid w:val="00070022"/>
    <w:rPr>
      <w:sz w:val="21"/>
      <w:szCs w:val="21"/>
    </w:rPr>
  </w:style>
  <w:style w:type="paragraph" w:styleId="a5">
    <w:name w:val="annotation text"/>
    <w:basedOn w:val="a"/>
    <w:link w:val="Char"/>
    <w:uiPriority w:val="99"/>
    <w:semiHidden/>
    <w:unhideWhenUsed/>
    <w:rsid w:val="00070022"/>
    <w:pPr>
      <w:jc w:val="left"/>
    </w:pPr>
  </w:style>
  <w:style w:type="character" w:customStyle="1" w:styleId="Char">
    <w:name w:val="批注文字 Char"/>
    <w:basedOn w:val="a0"/>
    <w:link w:val="a5"/>
    <w:uiPriority w:val="99"/>
    <w:semiHidden/>
    <w:rsid w:val="00070022"/>
    <w:rPr>
      <w:rFonts w:ascii="Times New Roman" w:eastAsia="宋体" w:hAnsi="Times New Roman" w:cs="Times New Roman"/>
      <w:szCs w:val="24"/>
    </w:rPr>
  </w:style>
  <w:style w:type="paragraph" w:styleId="a6">
    <w:name w:val="annotation subject"/>
    <w:basedOn w:val="a5"/>
    <w:next w:val="a5"/>
    <w:link w:val="Char0"/>
    <w:uiPriority w:val="99"/>
    <w:semiHidden/>
    <w:unhideWhenUsed/>
    <w:rsid w:val="00070022"/>
    <w:rPr>
      <w:b/>
      <w:bCs/>
    </w:rPr>
  </w:style>
  <w:style w:type="character" w:customStyle="1" w:styleId="Char0">
    <w:name w:val="批注主题 Char"/>
    <w:basedOn w:val="Char"/>
    <w:link w:val="a6"/>
    <w:uiPriority w:val="99"/>
    <w:semiHidden/>
    <w:rsid w:val="00070022"/>
    <w:rPr>
      <w:rFonts w:ascii="Times New Roman" w:eastAsia="宋体" w:hAnsi="Times New Roman" w:cs="Times New Roman"/>
      <w:b/>
      <w:bCs/>
      <w:szCs w:val="24"/>
    </w:rPr>
  </w:style>
  <w:style w:type="paragraph" w:styleId="a7">
    <w:name w:val="Balloon Text"/>
    <w:basedOn w:val="a"/>
    <w:link w:val="Char1"/>
    <w:uiPriority w:val="99"/>
    <w:semiHidden/>
    <w:unhideWhenUsed/>
    <w:rsid w:val="00070022"/>
    <w:rPr>
      <w:sz w:val="18"/>
      <w:szCs w:val="18"/>
    </w:rPr>
  </w:style>
  <w:style w:type="character" w:customStyle="1" w:styleId="Char1">
    <w:name w:val="批注框文本 Char"/>
    <w:basedOn w:val="a0"/>
    <w:link w:val="a7"/>
    <w:uiPriority w:val="99"/>
    <w:semiHidden/>
    <w:rsid w:val="00070022"/>
    <w:rPr>
      <w:rFonts w:ascii="Times New Roman" w:eastAsia="宋体" w:hAnsi="Times New Roman" w:cs="Times New Roman"/>
      <w:sz w:val="18"/>
      <w:szCs w:val="18"/>
    </w:rPr>
  </w:style>
  <w:style w:type="paragraph" w:styleId="a8">
    <w:name w:val="header"/>
    <w:basedOn w:val="a"/>
    <w:link w:val="Char2"/>
    <w:uiPriority w:val="99"/>
    <w:unhideWhenUsed/>
    <w:rsid w:val="00B6635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6635B"/>
    <w:rPr>
      <w:rFonts w:ascii="Times New Roman" w:eastAsia="宋体" w:hAnsi="Times New Roman" w:cs="Times New Roman"/>
      <w:sz w:val="18"/>
      <w:szCs w:val="18"/>
    </w:rPr>
  </w:style>
  <w:style w:type="paragraph" w:styleId="a9">
    <w:name w:val="footer"/>
    <w:basedOn w:val="a"/>
    <w:link w:val="Char3"/>
    <w:uiPriority w:val="99"/>
    <w:unhideWhenUsed/>
    <w:rsid w:val="00B6635B"/>
    <w:pPr>
      <w:tabs>
        <w:tab w:val="center" w:pos="4153"/>
        <w:tab w:val="right" w:pos="8306"/>
      </w:tabs>
      <w:snapToGrid w:val="0"/>
      <w:jc w:val="left"/>
    </w:pPr>
    <w:rPr>
      <w:sz w:val="18"/>
      <w:szCs w:val="18"/>
    </w:rPr>
  </w:style>
  <w:style w:type="character" w:customStyle="1" w:styleId="Char3">
    <w:name w:val="页脚 Char"/>
    <w:basedOn w:val="a0"/>
    <w:link w:val="a9"/>
    <w:uiPriority w:val="99"/>
    <w:rsid w:val="00B6635B"/>
    <w:rPr>
      <w:rFonts w:ascii="Times New Roman" w:eastAsia="宋体" w:hAnsi="Times New Roman" w:cs="Times New Roman"/>
      <w:sz w:val="18"/>
      <w:szCs w:val="18"/>
    </w:rPr>
  </w:style>
  <w:style w:type="character" w:styleId="aa">
    <w:name w:val="Hyperlink"/>
    <w:basedOn w:val="a0"/>
    <w:uiPriority w:val="99"/>
    <w:semiHidden/>
    <w:unhideWhenUsed/>
    <w:rsid w:val="003347AB"/>
    <w:rPr>
      <w:strike w:val="0"/>
      <w:dstrike w:val="0"/>
      <w:color w:val="005DA2"/>
      <w:u w:val="none"/>
      <w:effect w:val="none"/>
    </w:rPr>
  </w:style>
  <w:style w:type="paragraph" w:styleId="ab">
    <w:name w:val="Revision"/>
    <w:hidden/>
    <w:uiPriority w:val="99"/>
    <w:semiHidden/>
    <w:rsid w:val="00355B0B"/>
    <w:rPr>
      <w:rFonts w:ascii="Times New Roman" w:eastAsia="宋体" w:hAnsi="Times New Roman" w:cs="Times New Roman"/>
      <w:szCs w:val="24"/>
    </w:rPr>
  </w:style>
  <w:style w:type="table" w:styleId="ac">
    <w:name w:val="Table Grid"/>
    <w:basedOn w:val="a1"/>
    <w:uiPriority w:val="59"/>
    <w:rsid w:val="00850B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1"/>
    <w:rsid w:val="00DA583B"/>
    <w:rPr>
      <w:rFonts w:ascii="Times New Roman" w:eastAsia="宋体" w:hAnsi="Times New Roman" w:cs="Times New Roman"/>
      <w:b/>
      <w:bCs/>
      <w:szCs w:val="21"/>
    </w:rPr>
  </w:style>
  <w:style w:type="paragraph" w:styleId="ad">
    <w:name w:val="Body Text"/>
    <w:basedOn w:val="a"/>
    <w:link w:val="Char4"/>
    <w:uiPriority w:val="1"/>
    <w:qFormat/>
    <w:rsid w:val="00DA583B"/>
    <w:rPr>
      <w:szCs w:val="21"/>
    </w:rPr>
  </w:style>
  <w:style w:type="character" w:customStyle="1" w:styleId="Char4">
    <w:name w:val="正文文本 Char"/>
    <w:basedOn w:val="a0"/>
    <w:link w:val="ad"/>
    <w:uiPriority w:val="1"/>
    <w:rsid w:val="00DA583B"/>
    <w:rPr>
      <w:rFonts w:ascii="Times New Roman" w:eastAsia="宋体" w:hAnsi="Times New Roman" w:cs="Times New Roman"/>
      <w:szCs w:val="21"/>
    </w:rPr>
  </w:style>
  <w:style w:type="paragraph" w:customStyle="1" w:styleId="TableParagraph">
    <w:name w:val="Table Paragraph"/>
    <w:basedOn w:val="a"/>
    <w:uiPriority w:val="1"/>
    <w:qFormat/>
    <w:rsid w:val="00DA583B"/>
    <w:pPr>
      <w:spacing w:before="61"/>
      <w:ind w:left="78" w:right="75"/>
      <w:jc w:val="center"/>
    </w:pPr>
    <w:rPr>
      <w:rFonts w:ascii="仿宋" w:eastAsia="仿宋" w:hAnsi="仿宋" w:cs="仿宋"/>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c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4AAE-6A0F-4DF6-A005-42F267ED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1191</Words>
  <Characters>6790</Characters>
  <Application>Microsoft Office Word</Application>
  <DocSecurity>0</DocSecurity>
  <Lines>56</Lines>
  <Paragraphs>15</Paragraphs>
  <ScaleCrop>false</ScaleCrop>
  <Company>Microsoft</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waecke4406</dc:creator>
  <cp:lastModifiedBy>汪思禹</cp:lastModifiedBy>
  <cp:revision>15</cp:revision>
  <cp:lastPrinted>2021-01-08T02:30:00Z</cp:lastPrinted>
  <dcterms:created xsi:type="dcterms:W3CDTF">2021-07-09T07:28:00Z</dcterms:created>
  <dcterms:modified xsi:type="dcterms:W3CDTF">2023-05-06T08:27:00Z</dcterms:modified>
</cp:coreProperties>
</file>